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616e" w14:textId="d876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25 желтоқсандағы № 253 "Әулиекөл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17 қарашадағы № 375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2025-2027 жылдарға арналған аудандық бюджеті туралы" 2024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7 354 364,2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2 291 196,0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96 581,0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4 960 733,2 мың теңге;</w:t>
      </w:r>
    </w:p>
    <w:bookmarkEnd w:id="8"/>
    <w:bookmarkStart w:name="z13" w:id="9"/>
    <w:p>
      <w:pPr>
        <w:spacing w:after="0"/>
        <w:ind w:left="0"/>
        <w:jc w:val="both"/>
      </w:pPr>
      <w:r>
        <w:rPr>
          <w:rFonts w:ascii="Times New Roman"/>
          <w:b w:val="false"/>
          <w:i w:val="false"/>
          <w:color w:val="000000"/>
          <w:sz w:val="28"/>
        </w:rPr>
        <w:t>
      2) шығындар – 7 886 998,5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220 192,0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113 795,0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- 639 031,3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639 031,3 мың теңге. ";</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2026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 қмаңызы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-113899,0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