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eb93" w14:textId="832e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25 желтоқсандағы № 253 "Әулиекөл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17 маусымдағы № 314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2025-2027 жылдарға арналған аудандық бюджеті туралы" 2024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2025 - 2027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8 106 845,6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2 362 496,0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25 281,0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5 713 214,6 мың теңге;</w:t>
      </w:r>
    </w:p>
    <w:bookmarkEnd w:id="8"/>
    <w:bookmarkStart w:name="z13" w:id="9"/>
    <w:p>
      <w:pPr>
        <w:spacing w:after="0"/>
        <w:ind w:left="0"/>
        <w:jc w:val="both"/>
      </w:pPr>
      <w:r>
        <w:rPr>
          <w:rFonts w:ascii="Times New Roman"/>
          <w:b w:val="false"/>
          <w:i w:val="false"/>
          <w:color w:val="000000"/>
          <w:sz w:val="28"/>
        </w:rPr>
        <w:t>
      2) шығындар – 8 301 868,8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220 192,0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113 795,0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- 301 420,2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301 420,2 мың теңге. ";</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2024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Сомасы,</w:t>
            </w:r>
          </w:p>
          <w:bookmarkEnd w:id="1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Мемлекеттік мекемелерге бекітілген мемлекеттік мүлікті</w:t>
            </w:r>
          </w:p>
          <w:bookmarkEnd w:id="20"/>
          <w:p>
            <w:pPr>
              <w:spacing w:after="20"/>
              <w:ind w:left="20"/>
              <w:jc w:val="both"/>
            </w:pPr>
            <w:r>
              <w:rPr>
                <w:rFonts w:ascii="Times New Roman"/>
                <w:b w:val="false"/>
                <w:i w:val="false"/>
                <w:color w:val="000000"/>
                <w:sz w:val="20"/>
              </w:rPr>
              <w:t>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Мемлекеттік мекемелерге бекітілген мемлекеттік мүлікті</w:t>
            </w:r>
          </w:p>
          <w:bookmarkEnd w:id="21"/>
          <w:p>
            <w:pPr>
              <w:spacing w:after="20"/>
              <w:ind w:left="20"/>
              <w:jc w:val="both"/>
            </w:pPr>
            <w:r>
              <w:rPr>
                <w:rFonts w:ascii="Times New Roman"/>
                <w:b w:val="false"/>
                <w:i w:val="false"/>
                <w:color w:val="000000"/>
                <w:sz w:val="20"/>
              </w:rPr>
              <w:t>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Төмен тұрған мемлекеттiк басқару органдарынан</w:t>
            </w:r>
          </w:p>
          <w:bookmarkEnd w:id="22"/>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Аудандық маңызы бар қалалардың, ауылдардың,</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кенттердің, ауылдық округтардың бюджеттерінен</w:t>
            </w:r>
          </w:p>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Жергілікті деңгейде ауыл шаруашылығы жəне жер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қатынастары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26"/>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