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6991" w14:textId="2a56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мәдениет және тілдерді дамыту бөлімі" мемлекеттік мекемесі туралы ережені бекіту туралы" Лисаков қаласы әкімдігінің 2022 жылғы 01 сәуірдегі № 122 қаулысына толықтырулар енгізу туралы</w:t>
      </w:r>
    </w:p>
    <w:p>
      <w:pPr>
        <w:spacing w:after="0"/>
        <w:ind w:left="0"/>
        <w:jc w:val="both"/>
      </w:pPr>
      <w:r>
        <w:rPr>
          <w:rFonts w:ascii="Times New Roman"/>
          <w:b w:val="false"/>
          <w:i w:val="false"/>
          <w:color w:val="000000"/>
          <w:sz w:val="28"/>
        </w:rPr>
        <w:t>Қостанай облысы Лисаков қаласы әкімдігінің 2025 жылғы 2 желтоқсандағы № 345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мәдениет және тілдерді дамыту бөлімі" мемлекеттік мекемесі туралы ережені бекіту туралы" Лисаков қаласы әкімдігінің 2022 жылғы 01 сәуірдегі </w:t>
      </w:r>
      <w:r>
        <w:rPr>
          <w:rFonts w:ascii="Times New Roman"/>
          <w:b w:val="false"/>
          <w:i w:val="false"/>
          <w:color w:val="000000"/>
          <w:sz w:val="28"/>
        </w:rPr>
        <w:t>№ 122</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"Лисаков қаласы әкімдігінің мәдениет және тілдерді дамыту бөлімі"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 мазмұндағы 9-1), 9-2), 9-3), 9-4), 9-5) тармақшаларымен толықтырылсын:</w:t>
      </w:r>
    </w:p>
    <w:bookmarkStart w:name="z8" w:id="3"/>
    <w:p>
      <w:pPr>
        <w:spacing w:after="0"/>
        <w:ind w:left="0"/>
        <w:jc w:val="both"/>
      </w:pPr>
      <w:r>
        <w:rPr>
          <w:rFonts w:ascii="Times New Roman"/>
          <w:b w:val="false"/>
          <w:i w:val="false"/>
          <w:color w:val="000000"/>
          <w:sz w:val="28"/>
        </w:rPr>
        <w:t>
      "9-1) балалар мен жасөспірімдерге арналған шығармашылық үйірмелерді қаржыландыру үшін мемлекеттік шығармашылық тапсырысты бюджеттік қаражат көлемінде бекітеді;</w:t>
      </w:r>
    </w:p>
    <w:bookmarkEnd w:id="3"/>
    <w:bookmarkStart w:name="z9" w:id="4"/>
    <w:p>
      <w:pPr>
        <w:spacing w:after="0"/>
        <w:ind w:left="0"/>
        <w:jc w:val="both"/>
      </w:pPr>
      <w:r>
        <w:rPr>
          <w:rFonts w:ascii="Times New Roman"/>
          <w:b w:val="false"/>
          <w:i w:val="false"/>
          <w:color w:val="000000"/>
          <w:sz w:val="28"/>
        </w:rPr>
        <w:t>
      9-2) мемлекеттік шығармашылық тапсырысты балалар мен жасөспірімдерге арналған шығармашылық үйірмелерде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bookmarkEnd w:id="4"/>
    <w:bookmarkStart w:name="z10" w:id="5"/>
    <w:p>
      <w:pPr>
        <w:spacing w:after="0"/>
        <w:ind w:left="0"/>
        <w:jc w:val="both"/>
      </w:pPr>
      <w:r>
        <w:rPr>
          <w:rFonts w:ascii="Times New Roman"/>
          <w:b w:val="false"/>
          <w:i w:val="false"/>
          <w:color w:val="000000"/>
          <w:sz w:val="28"/>
        </w:rPr>
        <w:t>
      9-3)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9-4)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bookmarkEnd w:id="6"/>
    <w:bookmarkStart w:name="z12" w:id="7"/>
    <w:p>
      <w:pPr>
        <w:spacing w:after="0"/>
        <w:ind w:left="0"/>
        <w:jc w:val="both"/>
      </w:pPr>
      <w:r>
        <w:rPr>
          <w:rFonts w:ascii="Times New Roman"/>
          <w:b w:val="false"/>
          <w:i w:val="false"/>
          <w:color w:val="000000"/>
          <w:sz w:val="28"/>
        </w:rPr>
        <w:t>
      9-5)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7"/>
    <w:bookmarkStart w:name="z13" w:id="8"/>
    <w:p>
      <w:pPr>
        <w:spacing w:after="0"/>
        <w:ind w:left="0"/>
        <w:jc w:val="both"/>
      </w:pPr>
      <w:r>
        <w:rPr>
          <w:rFonts w:ascii="Times New Roman"/>
          <w:b w:val="false"/>
          <w:i w:val="false"/>
          <w:color w:val="000000"/>
          <w:sz w:val="28"/>
        </w:rPr>
        <w:t>
      2. "Лисаков қаласы әкімдігінің мәдениет және тілдерді дамыту бөлімі" мемлекеттік мекемесі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w:t>
      </w:r>
    </w:p>
    <w:bookmarkEnd w:id="9"/>
    <w:bookmarkStart w:name="z15" w:id="10"/>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10"/>
    <w:bookmarkStart w:name="z16" w:id="11"/>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орналастыру.</w:t>
      </w:r>
    </w:p>
    <w:bookmarkEnd w:id="11"/>
    <w:bookmarkStart w:name="z17" w:id="12"/>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2"/>
    <w:bookmarkStart w:name="z18" w:id="13"/>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