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4e2a" w14:textId="b2f4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29 желтоқсандағы № 2194 қаулысы</w:t>
      </w:r>
    </w:p>
    <w:p>
      <w:pPr>
        <w:spacing w:after="0"/>
        <w:ind w:left="0"/>
        <w:jc w:val="both"/>
      </w:pPr>
      <w:bookmarkStart w:name="z4" w:id="0"/>
      <w:r>
        <w:rPr>
          <w:rFonts w:ascii="Times New Roman"/>
          <w:b w:val="false"/>
          <w:i w:val="false"/>
          <w:color w:val="000000"/>
          <w:sz w:val="28"/>
        </w:rPr>
        <w:t xml:space="preserve">
      Қазақстан Республикасының 2025 жылғы 15 наурыздағы № 171-VIII Бюджет кодексінің </w:t>
      </w:r>
      <w:r>
        <w:rPr>
          <w:rFonts w:ascii="Times New Roman"/>
          <w:b w:val="false"/>
          <w:i w:val="false"/>
          <w:color w:val="000000"/>
          <w:sz w:val="28"/>
        </w:rPr>
        <w:t>56-бабына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қаласы әкімдігінің коммуналдық мемлекеттік кәсіпорындарының таза кірісінің бір бөлігін аудару нормативі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он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коммуналдық мемлекеттік кәсіпорындарының таза кірісінің бір бөлігін аудару нормативі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кірісінің бір бөлігін аудару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мемлекеттік мекемесі Қостанай қаласы әкімдігінің "Қостанай жылу энергетикалық компаниясы"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50%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мемлекеттік мекемесі Қостанай қаласы әкімдігінің "Қостанай-Су"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50%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мемлекеттік мекемесі Қостанай қаласы әкімдігінің "Қостанай қалалық мәдениет және демалыс паркі"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10%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мәдениет, тілдерді дамыту, дене шынықтыру және спорт бөлімінің "Мирас" қалалық мәдениет сарайы"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10% мөлшерінде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