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12a2" w14:textId="36f1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аудандық маңызы бар қаланың, ауылдардың, ауылдық округтің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26 желтоқсандағы № 37/178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маңызы бар қаланың, ауылдардың, ауылдық округтің бюджеттері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3 349 627,0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533 720,7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2 790 581,3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3 400 481,2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-50 854,2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- 50 854,2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50 854,2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Түпқараған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аудандық маңызы бар қаланың, ауылдардың, ауылдық округтің бюджеттеріне берілетін бюджеттік субвенциялар көлемдері 600,0 мың теңге сомасында көзделгені ескерілсін,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Форт-Шевченко қаласына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Ақшұқыр ауылына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Баутино ауылына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 Шапағатов ауылдық округіне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Таушық ауылына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Қызылөзен ауылына – 100,0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Ақшұқыр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Түпқараған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Ақшұқыр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Ақшұқыр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Баутин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Маңғыстау облысы Түпқараған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Баутин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(профицитін пайдалану) қаржыландыру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Баутин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(профицитін пайдалану) қаржыландыру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Қызылөзен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Маңғыстау облысы Түпқараған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Қызылөзен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Қызылөзен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Сайын Шапағатов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Маңғыстау облысы Түпқараған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72 483,2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Сайын Шапағатов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Сайын Шапағатов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Таушық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Маңғыстау облысы Түпқараған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Таушық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Таушық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Форт-Шевченко қаласының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Маңғыстау облысы Түпқараған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Форт-Шевченко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Форт-Шевченко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