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51aa" w14:textId="245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жай-күйіне мониторинг және бағалауды жүргізу кезінде ведомстволық бағынысты ұйым көрсететін ақылы қызмет түрлеріне тарифтерді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4 маусымдағы № 124-НҚ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23-бабы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жай-күйіне мониторинг және бағалауды жүргізу кезінде ведомстволық бағынысты ұйым көрсететін ақылы қызмет түрлеріне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2025 жылғы 10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124-НҚ бұйрығымен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Суармалы жерлердің мелиорациялық жай - күйіне мониторинг және бағалауды жүргізу кезінде ведомстволық бағынысты ұйым көрсететін ақылы қызмет түрлеріне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 (теңге, қосылған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топырақтық-мелиорациялық және тұздық түсірілімін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 сулардың деңгейіне гидрорежимдік бақылаулар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және судағы тұздарды анықтау үшін оларға талдаулар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суларына ирригациялық бағалау жүргізу және оларды суару үшін пайдалану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 жабдықтау және суға ұңғымалар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ұңғымалар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сызықтық</w:t>
            </w:r>
          </w:p>
          <w:bookmarkEnd w:id="8"/>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