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e801" w14:textId="223e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Қызылорда облыстық мәслихатының 2024 жылғы 23 қазандағы № 121 шешіміне өзгеріс енгізу туралы</w:t>
      </w:r>
    </w:p>
    <w:p>
      <w:pPr>
        <w:spacing w:after="0"/>
        <w:ind w:left="0"/>
        <w:jc w:val="both"/>
      </w:pPr>
      <w:r>
        <w:rPr>
          <w:rFonts w:ascii="Times New Roman"/>
          <w:b w:val="false"/>
          <w:i w:val="false"/>
          <w:color w:val="000000"/>
          <w:sz w:val="28"/>
        </w:rPr>
        <w:t>Қызылорда облыстық мәслихатының 2025 жылғы 20 мамырдағы № 168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Қызылорда облыстық мәслихатының 2024 жылғы 21 қазандағы № 121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 20 " мамырдағы</w:t>
            </w:r>
            <w:r>
              <w:br/>
            </w:r>
            <w:r>
              <w:rPr>
                <w:rFonts w:ascii="Times New Roman"/>
                <w:b w:val="false"/>
                <w:i w:val="false"/>
                <w:color w:val="000000"/>
                <w:sz w:val="20"/>
              </w:rPr>
              <w:t>№ 168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 23 " қазандағы</w:t>
            </w:r>
            <w:r>
              <w:br/>
            </w:r>
            <w:r>
              <w:rPr>
                <w:rFonts w:ascii="Times New Roman"/>
                <w:b w:val="false"/>
                <w:i w:val="false"/>
                <w:color w:val="000000"/>
                <w:sz w:val="20"/>
              </w:rPr>
              <w:t>№ 121 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айғақтар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атаулары (шығару нысаны)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 xml:space="preserve">
Басқа көріністі жылауықты фиброз (муковисцидоз) </w:t>
            </w:r>
          </w:p>
          <w:bookmarkEnd w:id="2"/>
          <w:p>
            <w:pPr>
              <w:spacing w:after="20"/>
              <w:ind w:left="20"/>
              <w:jc w:val="both"/>
            </w:pPr>
            <w:r>
              <w:rPr>
                <w:rFonts w:ascii="Times New Roman"/>
                <w:b w:val="false"/>
                <w:i w:val="false"/>
                <w:color w:val="000000"/>
                <w:sz w:val="20"/>
              </w:rPr>
              <w:t xml:space="preserve">
МКБ Е84-Е84.9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дәрежесіне қарамастан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 xml:space="preserve">
Ортатізбелі триглициридтері бар мамандандырылған қорек </w:t>
            </w:r>
          </w:p>
          <w:bookmarkEnd w:id="3"/>
          <w:p>
            <w:pPr>
              <w:spacing w:after="20"/>
              <w:ind w:left="20"/>
              <w:jc w:val="both"/>
            </w:pPr>
            <w:r>
              <w:rPr>
                <w:rFonts w:ascii="Times New Roman"/>
                <w:b w:val="false"/>
                <w:i w:val="false"/>
                <w:color w:val="000000"/>
                <w:sz w:val="20"/>
              </w:rPr>
              <w:t>
(Сусын немесе қосымша тамақтануға, сондай-ақ энтералді зонд ретінде қолдануға арналған. 3-жастан жоғары балаларға және ересектерге тағайындалады)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xml:space="preserve">
Идиопатикалық және екіншілік өкпе артериясының гипертензиясы </w:t>
            </w:r>
          </w:p>
          <w:bookmarkEnd w:id="4"/>
          <w:p>
            <w:pPr>
              <w:spacing w:after="20"/>
              <w:ind w:left="20"/>
              <w:jc w:val="both"/>
            </w:pPr>
            <w:r>
              <w:rPr>
                <w:rFonts w:ascii="Times New Roman"/>
                <w:b w:val="false"/>
                <w:i w:val="false"/>
                <w:color w:val="000000"/>
                <w:sz w:val="20"/>
              </w:rPr>
              <w:t>
МКБ -I27.2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IV сатылары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эмболиясы және тромбозы МКБ I74.4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антикоагулянттық дәрілік препараты қолдану мүмкін болмағанда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 Натрия (инъекцияға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xml:space="preserve">
Ювенильді идиопатиялық артрит (балалардағы) </w:t>
            </w:r>
          </w:p>
          <w:bookmarkEnd w:id="5"/>
          <w:p>
            <w:pPr>
              <w:spacing w:after="20"/>
              <w:ind w:left="20"/>
              <w:jc w:val="both"/>
            </w:pPr>
            <w:r>
              <w:rPr>
                <w:rFonts w:ascii="Times New Roman"/>
                <w:b w:val="false"/>
                <w:i w:val="false"/>
                <w:color w:val="000000"/>
                <w:sz w:val="20"/>
              </w:rPr>
              <w:t>
МКБ-M08.0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полиартритикалық формасы мен жүйелер бойынша зақымдану клиникалық белгілерінің болуы, этиотропты генді-инженерлік биологиялық дәрілік препаратты ем ретінде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Адалимубаб (инъекцияға арналған ерітінді)</w:t>
            </w:r>
          </w:p>
          <w:bookmarkEnd w:id="6"/>
          <w:p>
            <w:pPr>
              <w:spacing w:after="20"/>
              <w:ind w:left="20"/>
              <w:jc w:val="both"/>
            </w:pPr>
            <w:r>
              <w:rPr>
                <w:rFonts w:ascii="Times New Roman"/>
                <w:b w:val="false"/>
                <w:i w:val="false"/>
                <w:color w:val="000000"/>
                <w:sz w:val="20"/>
              </w:rPr>
              <w:t>
Инфликсимаб (инфузия үшін ерітінді дайындауға арналған лиофилизат)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xml:space="preserve">
Анакинра </w:t>
            </w:r>
          </w:p>
          <w:bookmarkEnd w:id="7"/>
          <w:p>
            <w:pPr>
              <w:spacing w:after="20"/>
              <w:ind w:left="20"/>
              <w:jc w:val="both"/>
            </w:pPr>
            <w:r>
              <w:rPr>
                <w:rFonts w:ascii="Times New Roman"/>
                <w:b w:val="false"/>
                <w:i w:val="false"/>
                <w:color w:val="000000"/>
                <w:sz w:val="20"/>
              </w:rPr>
              <w:t>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xml:space="preserve">
Буллезды эпидермолиз </w:t>
            </w:r>
          </w:p>
          <w:bookmarkEnd w:id="8"/>
          <w:p>
            <w:pPr>
              <w:spacing w:after="20"/>
              <w:ind w:left="20"/>
              <w:jc w:val="both"/>
            </w:pPr>
            <w:r>
              <w:rPr>
                <w:rFonts w:ascii="Times New Roman"/>
                <w:b w:val="false"/>
                <w:i w:val="false"/>
                <w:color w:val="000000"/>
                <w:sz w:val="20"/>
              </w:rPr>
              <w:t>
МКБ -Q81.0-Q81.9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Таңып-байлау материалдары мамандандырылған қорек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xml:space="preserve">
Көмей стенозы IV дәрежесі (балалардағы) </w:t>
            </w:r>
          </w:p>
          <w:bookmarkEnd w:id="9"/>
          <w:p>
            <w:pPr>
              <w:spacing w:after="20"/>
              <w:ind w:left="20"/>
              <w:jc w:val="both"/>
            </w:pPr>
            <w:r>
              <w:rPr>
                <w:rFonts w:ascii="Times New Roman"/>
                <w:b w:val="false"/>
                <w:i w:val="false"/>
                <w:color w:val="000000"/>
                <w:sz w:val="20"/>
              </w:rPr>
              <w:t>
МКБ -J36.8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мақсатында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xml:space="preserve">
Будесонид </w:t>
            </w:r>
          </w:p>
          <w:bookmarkEnd w:id="10"/>
          <w:p>
            <w:pPr>
              <w:spacing w:after="20"/>
              <w:ind w:left="20"/>
              <w:jc w:val="both"/>
            </w:pPr>
            <w:r>
              <w:rPr>
                <w:rFonts w:ascii="Times New Roman"/>
                <w:b w:val="false"/>
                <w:i w:val="false"/>
                <w:color w:val="000000"/>
                <w:sz w:val="20"/>
              </w:rPr>
              <w:t xml:space="preserve">
(ингаляцияға арналған суспензия)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шұғыл көмек көрсетуде және түтікше айналасындағы теріні өңдеп тұру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(сыртқа қолдануға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Стерильды бинт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 (сыртқа қолдану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катетрі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тамақтану зонды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Целиакия МКБ -K90.0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барлық санаттар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ферментопатия кезіндегі алмастырғыш дәрілік препарат.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Панкреатин капсула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сапасын жақсартады және өмір сүру ұзақтығын ұзартады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жұмыртқасыз, сүтсіз нан пісіруге арналған ұн қоспасы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жұмыртқасыз, сүтсіз нан пісіруге арналған макарон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қорек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xml:space="preserve">
Созылмалы қабынулық демиелинизациялық полинейропатия </w:t>
            </w:r>
          </w:p>
          <w:bookmarkEnd w:id="11"/>
          <w:p>
            <w:pPr>
              <w:spacing w:after="20"/>
              <w:ind w:left="20"/>
              <w:jc w:val="both"/>
            </w:pPr>
            <w:r>
              <w:rPr>
                <w:rFonts w:ascii="Times New Roman"/>
                <w:b w:val="false"/>
                <w:i w:val="false"/>
                <w:color w:val="000000"/>
                <w:sz w:val="20"/>
              </w:rPr>
              <w:t xml:space="preserve">
МКБ -G61.8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Инфекцияға ағзаның қарсы тұра алу қабілетін қамтамасыз етуге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 ішіне енгізуге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xml:space="preserve">
Остеопароз </w:t>
            </w:r>
          </w:p>
          <w:bookmarkEnd w:id="12"/>
          <w:p>
            <w:pPr>
              <w:spacing w:after="20"/>
              <w:ind w:left="20"/>
              <w:jc w:val="both"/>
            </w:pPr>
            <w:r>
              <w:rPr>
                <w:rFonts w:ascii="Times New Roman"/>
                <w:b w:val="false"/>
                <w:i w:val="false"/>
                <w:color w:val="000000"/>
                <w:sz w:val="20"/>
              </w:rPr>
              <w:t xml:space="preserve">
МКБ -M80.0-M82.8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Остеопаразоның генерализацияланған нысаны, ауыр ағымы, III, IV дәрежелері, сүйек кемегінің бұзылуы ұлғайған кезінде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Золедрон қышқылы (инфузияға арналған ерітінді)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гиперинсулинизм МКБ -E16.1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гормонопатия кезіндегі алмастырғыш препараты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Октреотид</w:t>
            </w:r>
          </w:p>
          <w:bookmarkEnd w:id="13"/>
          <w:p>
            <w:pPr>
              <w:spacing w:after="20"/>
              <w:ind w:left="20"/>
              <w:jc w:val="both"/>
            </w:pPr>
            <w:r>
              <w:rPr>
                <w:rFonts w:ascii="Times New Roman"/>
                <w:b w:val="false"/>
                <w:i w:val="false"/>
                <w:color w:val="000000"/>
                <w:sz w:val="20"/>
              </w:rPr>
              <w:t>
 (көктамыр ішіне және тері астына енгізуге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Көптік миелома МКБ -C90.0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Көптік миелома ауруын емдеу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(инфузиялық ерітіндіні дайындайтын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Иксазомиб</w:t>
            </w:r>
          </w:p>
          <w:bookmarkEnd w:id="14"/>
          <w:p>
            <w:pPr>
              <w:spacing w:after="20"/>
              <w:ind w:left="20"/>
              <w:jc w:val="both"/>
            </w:pPr>
            <w:r>
              <w:rPr>
                <w:rFonts w:ascii="Times New Roman"/>
                <w:b w:val="false"/>
                <w:i w:val="false"/>
                <w:color w:val="000000"/>
                <w:sz w:val="20"/>
              </w:rPr>
              <w:t>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Помалидомид</w:t>
            </w:r>
          </w:p>
          <w:bookmarkEnd w:id="15"/>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xml:space="preserve">
Қант диабеті 1 типі, ауыр ағымда декомпенсация сатысы </w:t>
            </w:r>
          </w:p>
          <w:bookmarkEnd w:id="16"/>
          <w:p>
            <w:pPr>
              <w:spacing w:after="20"/>
              <w:ind w:left="20"/>
              <w:jc w:val="both"/>
            </w:pPr>
            <w:r>
              <w:rPr>
                <w:rFonts w:ascii="Times New Roman"/>
                <w:b w:val="false"/>
                <w:i w:val="false"/>
                <w:color w:val="000000"/>
                <w:sz w:val="20"/>
              </w:rPr>
              <w:t xml:space="preserve">
МКБ -E10.1-E10.8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Гипергликемиялық жағдайға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xml:space="preserve">
 Инсулиндік помпаға арналған резервуар 3 мл </w:t>
            </w:r>
          </w:p>
          <w:bookmarkEnd w:id="17"/>
          <w:p>
            <w:pPr>
              <w:spacing w:after="20"/>
              <w:ind w:left="20"/>
              <w:jc w:val="both"/>
            </w:pPr>
            <w:r>
              <w:rPr>
                <w:rFonts w:ascii="Times New Roman"/>
                <w:b w:val="false"/>
                <w:i w:val="false"/>
                <w:color w:val="000000"/>
                <w:sz w:val="20"/>
              </w:rPr>
              <w:t xml:space="preserve">
(инсулин помпасына жиынтық)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гетеротоксикалық аллотрансплантациясынан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трансплантациясынан кейінгі қауіп тобына жататын науқастарды цитомегаловирустық инфекцияның алдын алу мақсатында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Валганцикловир</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таблетка</w:t>
            </w:r>
          </w:p>
          <w:p>
            <w:pPr>
              <w:spacing w:after="20"/>
              <w:ind w:left="20"/>
              <w:jc w:val="both"/>
            </w:pPr>
            <w:r>
              <w:rPr>
                <w:rFonts w:ascii="Times New Roman"/>
                <w:b w:val="false"/>
                <w:i w:val="false"/>
                <w:color w:val="000000"/>
                <w:sz w:val="20"/>
              </w:rPr>
              <w:t>
(препараттың саудалық атауы Гансил немесе Вальцит)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Метаболикалық процестерді түзету (ақуыз және май алмасуын қалыпқа келтіру)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Левокарнитин</w:t>
            </w:r>
          </w:p>
          <w:bookmarkEnd w:id="19"/>
          <w:p>
            <w:pPr>
              <w:spacing w:after="20"/>
              <w:ind w:left="20"/>
              <w:jc w:val="both"/>
            </w:pPr>
            <w:r>
              <w:rPr>
                <w:rFonts w:ascii="Times New Roman"/>
                <w:b w:val="false"/>
                <w:i w:val="false"/>
                <w:color w:val="000000"/>
                <w:sz w:val="20"/>
              </w:rPr>
              <w:t>
 (ішке қабылдауға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 терминалдық сатысы МКБ N 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барлық санаттар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Перитониальды диализ жасау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(перитонеальді диализ ерітіндісі)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xml:space="preserve">
Қосымша материалдары </w:t>
            </w:r>
          </w:p>
          <w:bookmarkEnd w:id="20"/>
          <w:p>
            <w:pPr>
              <w:spacing w:after="20"/>
              <w:ind w:left="20"/>
              <w:jc w:val="both"/>
            </w:pPr>
            <w:r>
              <w:rPr>
                <w:rFonts w:ascii="Times New Roman"/>
                <w:b w:val="false"/>
                <w:i w:val="false"/>
                <w:color w:val="000000"/>
                <w:sz w:val="20"/>
              </w:rPr>
              <w:t>
(өтпелі түтік, қысқыштар,катетр, дренаждық комплект, магистраль жиынтығы, энтеральды тамақтандыруға арналған система)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қорек, өмір сүру ұзақтығын ұзартады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xml:space="preserve">
Энтеральды және парентеральды тамақтануға арналған қоспа; </w:t>
            </w:r>
          </w:p>
          <w:bookmarkEnd w:id="21"/>
          <w:p>
            <w:pPr>
              <w:spacing w:after="20"/>
              <w:ind w:left="20"/>
              <w:jc w:val="both"/>
            </w:pPr>
            <w:r>
              <w:rPr>
                <w:rFonts w:ascii="Times New Roman"/>
                <w:b w:val="false"/>
                <w:i w:val="false"/>
                <w:color w:val="000000"/>
                <w:sz w:val="20"/>
              </w:rPr>
              <w:t>
Ванильді хош иісі бар энтеральды тамақтануға арналған мамандандырылған қоспа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МКБ -L40.0-L40.9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ересектер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Ауырлықтың дәрежесіне қарамастан барлық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салицил қышқылы, жақпа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Гуселькумаб</w:t>
            </w:r>
          </w:p>
          <w:bookmarkEnd w:id="22"/>
          <w:p>
            <w:pPr>
              <w:spacing w:after="20"/>
              <w:ind w:left="20"/>
              <w:jc w:val="both"/>
            </w:pPr>
            <w:r>
              <w:rPr>
                <w:rFonts w:ascii="Times New Roman"/>
                <w:b w:val="false"/>
                <w:i w:val="false"/>
                <w:color w:val="000000"/>
                <w:sz w:val="20"/>
              </w:rPr>
              <w:t>
(тері астына енгізуге арналған ерітінді)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xml:space="preserve">
Секукинумаб </w:t>
            </w:r>
          </w:p>
          <w:bookmarkEnd w:id="23"/>
          <w:p>
            <w:pPr>
              <w:spacing w:after="20"/>
              <w:ind w:left="20"/>
              <w:jc w:val="both"/>
            </w:pPr>
            <w:r>
              <w:rPr>
                <w:rFonts w:ascii="Times New Roman"/>
                <w:b w:val="false"/>
                <w:i w:val="false"/>
                <w:color w:val="000000"/>
                <w:sz w:val="20"/>
              </w:rPr>
              <w:t>
(тері астына енгізуге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ауытқулары МКБ -Z03.2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есепте тұрмайтындар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Депрессиялық жағдайлар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Қобалжу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Криопирин-ассоциирленген кезеңдік синдромы (CAPS) МКБ –М04.2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полиартритикалық формасы мен жүйелер бойынша зақымдану клиникалық белгілерінің болуы, этиотропты генді-инженерлік биологиялық дәрілік препаратты ем ретінде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xml:space="preserve">
Канакинумаб </w:t>
            </w:r>
          </w:p>
          <w:bookmarkEnd w:id="24"/>
          <w:p>
            <w:pPr>
              <w:spacing w:after="20"/>
              <w:ind w:left="20"/>
              <w:jc w:val="both"/>
            </w:pPr>
            <w:r>
              <w:rPr>
                <w:rFonts w:ascii="Times New Roman"/>
                <w:b w:val="false"/>
                <w:i w:val="false"/>
                <w:color w:val="000000"/>
                <w:sz w:val="20"/>
              </w:rPr>
              <w:t>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 МКБ -M32.0-M32.9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маңызды органдардың зақымдануы терапияға рефрактерлі және қауіпті жағдайларда немесе стандартты иммуносупрессанттарға төзбеушілік/қарсы көрсетілімдер кезінде емдеу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Ритуксимаб</w:t>
            </w:r>
          </w:p>
          <w:bookmarkEnd w:id="25"/>
          <w:p>
            <w:pPr>
              <w:spacing w:after="20"/>
              <w:ind w:left="20"/>
              <w:jc w:val="both"/>
            </w:pPr>
            <w:r>
              <w:rPr>
                <w:rFonts w:ascii="Times New Roman"/>
                <w:b w:val="false"/>
                <w:i w:val="false"/>
                <w:color w:val="000000"/>
                <w:sz w:val="20"/>
              </w:rPr>
              <w:t>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Амиотрофиялық бүйірлік склероз МКБ -G12.2-G12.9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Мидағы глюкозаның метаболизм процестерінің қалыпты төмендеуін тудырады, гипоксияға қарсы қорғаныс әсері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Рилузол,</w:t>
            </w:r>
          </w:p>
          <w:bookmarkEnd w:id="26"/>
          <w:p>
            <w:pPr>
              <w:spacing w:after="20"/>
              <w:ind w:left="20"/>
              <w:jc w:val="both"/>
            </w:pPr>
            <w:r>
              <w:rPr>
                <w:rFonts w:ascii="Times New Roman"/>
                <w:b w:val="false"/>
                <w:i w:val="false"/>
                <w:color w:val="000000"/>
                <w:sz w:val="20"/>
              </w:rPr>
              <w:t xml:space="preserve">
(таблетка)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Гепатоцеллюлярлық карцинома МКБ -C22.0-C22.9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барлық санаттар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xml:space="preserve">
Тұқым қуалайтын анги-оневротикалық ісіну </w:t>
            </w:r>
          </w:p>
          <w:bookmarkEnd w:id="27"/>
          <w:p>
            <w:pPr>
              <w:spacing w:after="20"/>
              <w:ind w:left="20"/>
              <w:jc w:val="both"/>
            </w:pPr>
            <w:r>
              <w:rPr>
                <w:rFonts w:ascii="Times New Roman"/>
                <w:b w:val="false"/>
                <w:i w:val="false"/>
                <w:color w:val="000000"/>
                <w:sz w:val="20"/>
              </w:rPr>
              <w:t>
МКБ -T78.3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Диспансерлік есепте тұрған барлық санаттар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сапасын жақсартады және өмір сүру ұзақтығын ұзартады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xml:space="preserve">
Ингибитор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С1-эстеразы</w:t>
            </w:r>
          </w:p>
          <w:p>
            <w:pPr>
              <w:spacing w:after="20"/>
              <w:ind w:left="20"/>
              <w:jc w:val="both"/>
            </w:pPr>
            <w:r>
              <w:rPr>
                <w:rFonts w:ascii="Times New Roman"/>
                <w:b w:val="false"/>
                <w:i w:val="false"/>
                <w:color w:val="000000"/>
                <w:sz w:val="20"/>
              </w:rPr>
              <w:t>
(ерітіндіні дайындауға арналған лиофилизат)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остеопороз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денелерінің сыну қаупін азайтады, сыну қаупі жоғары остеопорозбен ауыратын науқастар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 (инфузиялық ерітіндіні дайындайтын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Деносумаб</w:t>
            </w:r>
          </w:p>
          <w:bookmarkEnd w:id="29"/>
          <w:p>
            <w:pPr>
              <w:spacing w:after="20"/>
              <w:ind w:left="20"/>
              <w:jc w:val="both"/>
            </w:pPr>
            <w:r>
              <w:rPr>
                <w:rFonts w:ascii="Times New Roman"/>
                <w:b w:val="false"/>
                <w:i w:val="false"/>
                <w:color w:val="000000"/>
                <w:sz w:val="20"/>
              </w:rPr>
              <w:t>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xml:space="preserve">
Нейрофиброматоз 1 типті, плексиформды түрі </w:t>
            </w:r>
          </w:p>
          <w:bookmarkEnd w:id="30"/>
          <w:p>
            <w:pPr>
              <w:spacing w:after="20"/>
              <w:ind w:left="20"/>
              <w:jc w:val="both"/>
            </w:pPr>
            <w:r>
              <w:rPr>
                <w:rFonts w:ascii="Times New Roman"/>
                <w:b w:val="false"/>
                <w:i w:val="false"/>
                <w:color w:val="000000"/>
                <w:sz w:val="20"/>
              </w:rPr>
              <w:t>
МКБ -Q85.0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Нейрофиброматозды емдеуде ісік жасушаларының өсуін және көбеюін тоқтатуға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Селуметиниб</w:t>
            </w:r>
          </w:p>
          <w:bookmarkEnd w:id="31"/>
          <w:p>
            <w:pPr>
              <w:spacing w:after="20"/>
              <w:ind w:left="20"/>
              <w:jc w:val="both"/>
            </w:pPr>
            <w:r>
              <w:rPr>
                <w:rFonts w:ascii="Times New Roman"/>
                <w:b w:val="false"/>
                <w:i w:val="false"/>
                <w:color w:val="000000"/>
                <w:sz w:val="20"/>
              </w:rPr>
              <w:t>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склероздың басқа түрлері М34.8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Канакинумаб</w:t>
            </w:r>
          </w:p>
          <w:bookmarkEnd w:id="32"/>
          <w:p>
            <w:pPr>
              <w:spacing w:after="20"/>
              <w:ind w:left="20"/>
              <w:jc w:val="both"/>
            </w:pPr>
            <w:r>
              <w:rPr>
                <w:rFonts w:ascii="Times New Roman"/>
                <w:b w:val="false"/>
                <w:i w:val="false"/>
                <w:color w:val="000000"/>
                <w:sz w:val="20"/>
              </w:rPr>
              <w:t>
(тері астына енгізуге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xml:space="preserve">
Жұлын бұлшықетінің дистрофиясы </w:t>
            </w:r>
          </w:p>
          <w:bookmarkEnd w:id="33"/>
          <w:p>
            <w:pPr>
              <w:spacing w:after="20"/>
              <w:ind w:left="20"/>
              <w:jc w:val="both"/>
            </w:pPr>
            <w:r>
              <w:rPr>
                <w:rFonts w:ascii="Times New Roman"/>
                <w:b w:val="false"/>
                <w:i w:val="false"/>
                <w:color w:val="000000"/>
                <w:sz w:val="20"/>
              </w:rPr>
              <w:t>
МКБ G12.0-G12.9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дәрежесіне қарамастан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Рисдиплам</w:t>
            </w:r>
          </w:p>
          <w:bookmarkEnd w:id="34"/>
          <w:p>
            <w:pPr>
              <w:spacing w:after="20"/>
              <w:ind w:left="20"/>
              <w:jc w:val="both"/>
            </w:pPr>
            <w:r>
              <w:rPr>
                <w:rFonts w:ascii="Times New Roman"/>
                <w:b w:val="false"/>
                <w:i w:val="false"/>
                <w:color w:val="000000"/>
                <w:sz w:val="20"/>
              </w:rPr>
              <w:t>
(ішке қабылдауға арналған ерітінді дайындауға арналған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Касимерсен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xml:space="preserve">
Шала туудың басқа жағдайлары </w:t>
            </w:r>
          </w:p>
          <w:bookmarkEnd w:id="35"/>
          <w:p>
            <w:pPr>
              <w:spacing w:after="20"/>
              <w:ind w:left="20"/>
              <w:jc w:val="both"/>
            </w:pPr>
            <w:r>
              <w:rPr>
                <w:rFonts w:ascii="Times New Roman"/>
                <w:b w:val="false"/>
                <w:i w:val="false"/>
                <w:color w:val="000000"/>
                <w:sz w:val="20"/>
              </w:rPr>
              <w:t>
МКБ - P07.3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дәрежесіне қарамастан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xml:space="preserve">
Паливизумаб </w:t>
            </w:r>
          </w:p>
          <w:bookmarkEnd w:id="36"/>
          <w:p>
            <w:pPr>
              <w:spacing w:after="20"/>
              <w:ind w:left="20"/>
              <w:jc w:val="both"/>
            </w:pPr>
            <w:r>
              <w:rPr>
                <w:rFonts w:ascii="Times New Roman"/>
                <w:b w:val="false"/>
                <w:i w:val="false"/>
                <w:color w:val="000000"/>
                <w:sz w:val="20"/>
              </w:rPr>
              <w:t>
(бұлшық ет ішіне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xml:space="preserve">
Бронхиальды астма </w:t>
            </w:r>
          </w:p>
          <w:bookmarkEnd w:id="37"/>
          <w:p>
            <w:pPr>
              <w:spacing w:after="20"/>
              <w:ind w:left="20"/>
              <w:jc w:val="both"/>
            </w:pPr>
            <w:r>
              <w:rPr>
                <w:rFonts w:ascii="Times New Roman"/>
                <w:b w:val="false"/>
                <w:i w:val="false"/>
                <w:color w:val="000000"/>
                <w:sz w:val="20"/>
              </w:rPr>
              <w:t>
МКБ – J45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xml:space="preserve">
Омализумаб </w:t>
            </w:r>
          </w:p>
          <w:bookmarkEnd w:id="38"/>
          <w:p>
            <w:pPr>
              <w:spacing w:after="20"/>
              <w:ind w:left="20"/>
              <w:jc w:val="both"/>
            </w:pPr>
            <w:r>
              <w:rPr>
                <w:rFonts w:ascii="Times New Roman"/>
                <w:b w:val="false"/>
                <w:i w:val="false"/>
                <w:color w:val="000000"/>
                <w:sz w:val="20"/>
              </w:rPr>
              <w:t>
(тері астына енгізуге арналған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Невропатиясыз, отбасылық тұқым қуалайтын амилоидоз</w:t>
            </w:r>
          </w:p>
          <w:bookmarkEnd w:id="39"/>
          <w:p>
            <w:pPr>
              <w:spacing w:after="20"/>
              <w:ind w:left="20"/>
              <w:jc w:val="both"/>
            </w:pPr>
            <w:r>
              <w:rPr>
                <w:rFonts w:ascii="Times New Roman"/>
                <w:b w:val="false"/>
                <w:i w:val="false"/>
                <w:color w:val="000000"/>
                <w:sz w:val="20"/>
              </w:rPr>
              <w:t>
МКБ – Е85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дәрежесіне қарамастан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xml:space="preserve">
Анакинра </w:t>
            </w:r>
          </w:p>
          <w:bookmarkEnd w:id="40"/>
          <w:p>
            <w:pPr>
              <w:spacing w:after="20"/>
              <w:ind w:left="20"/>
              <w:jc w:val="both"/>
            </w:pPr>
            <w:r>
              <w:rPr>
                <w:rFonts w:ascii="Times New Roman"/>
                <w:b w:val="false"/>
                <w:i w:val="false"/>
                <w:color w:val="000000"/>
                <w:sz w:val="20"/>
              </w:rPr>
              <w:t>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белоктары алмасуының бұзылулары МКБ – Е88.0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дәрежесіне қарамастан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қорек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Идиопатиялық тромбоцитопениялық пурпура</w:t>
            </w:r>
          </w:p>
          <w:bookmarkEnd w:id="41"/>
          <w:p>
            <w:pPr>
              <w:spacing w:after="20"/>
              <w:ind w:left="20"/>
              <w:jc w:val="both"/>
            </w:pPr>
            <w:r>
              <w:rPr>
                <w:rFonts w:ascii="Times New Roman"/>
                <w:b w:val="false"/>
                <w:i w:val="false"/>
                <w:color w:val="000000"/>
                <w:sz w:val="20"/>
              </w:rPr>
              <w:t>
МКБ – D69.3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Ромиплостим</w:t>
            </w:r>
          </w:p>
          <w:bookmarkEnd w:id="42"/>
          <w:p>
            <w:pPr>
              <w:spacing w:after="20"/>
              <w:ind w:left="20"/>
              <w:jc w:val="both"/>
            </w:pPr>
            <w:r>
              <w:rPr>
                <w:rFonts w:ascii="Times New Roman"/>
                <w:b w:val="false"/>
                <w:i w:val="false"/>
                <w:color w:val="000000"/>
                <w:sz w:val="20"/>
              </w:rPr>
              <w:t>
(тері астына енгізуге арналған ерітінді дайындауға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xml:space="preserve">
Шашыранды беріш </w:t>
            </w:r>
          </w:p>
          <w:bookmarkEnd w:id="43"/>
          <w:p>
            <w:pPr>
              <w:spacing w:after="20"/>
              <w:ind w:left="20"/>
              <w:jc w:val="both"/>
            </w:pPr>
            <w:r>
              <w:rPr>
                <w:rFonts w:ascii="Times New Roman"/>
                <w:b w:val="false"/>
                <w:i w:val="false"/>
                <w:color w:val="000000"/>
                <w:sz w:val="20"/>
              </w:rPr>
              <w:t xml:space="preserve">
МКБ – G35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дәрежесіне қарамастан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xml:space="preserve">
Офатумумаб </w:t>
            </w:r>
          </w:p>
          <w:bookmarkEnd w:id="44"/>
          <w:p>
            <w:pPr>
              <w:spacing w:after="20"/>
              <w:ind w:left="20"/>
              <w:jc w:val="both"/>
            </w:pPr>
            <w:r>
              <w:rPr>
                <w:rFonts w:ascii="Times New Roman"/>
                <w:b w:val="false"/>
                <w:i w:val="false"/>
                <w:color w:val="000000"/>
                <w:sz w:val="20"/>
              </w:rPr>
              <w:t>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бұзылыстары (Такаясу ауруы) МКБ - М31.4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xml:space="preserve">
Тоцилизумаб </w:t>
            </w:r>
          </w:p>
          <w:bookmarkEnd w:id="45"/>
          <w:p>
            <w:pPr>
              <w:spacing w:after="20"/>
              <w:ind w:left="20"/>
              <w:jc w:val="both"/>
            </w:pPr>
            <w:r>
              <w:rPr>
                <w:rFonts w:ascii="Times New Roman"/>
                <w:b w:val="false"/>
                <w:i w:val="false"/>
                <w:color w:val="000000"/>
                <w:sz w:val="20"/>
              </w:rPr>
              <w:t>
(инфузияға арналған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xml:space="preserve">
Фосфор алмасуының бұзылуы </w:t>
            </w:r>
          </w:p>
          <w:bookmarkEnd w:id="46"/>
          <w:p>
            <w:pPr>
              <w:spacing w:after="20"/>
              <w:ind w:left="20"/>
              <w:jc w:val="both"/>
            </w:pPr>
            <w:r>
              <w:rPr>
                <w:rFonts w:ascii="Times New Roman"/>
                <w:b w:val="false"/>
                <w:i w:val="false"/>
                <w:color w:val="000000"/>
                <w:sz w:val="20"/>
              </w:rPr>
              <w:t>
МКБ - 83.3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Буросумаб</w:t>
            </w:r>
          </w:p>
          <w:bookmarkEnd w:id="47"/>
          <w:p>
            <w:pPr>
              <w:spacing w:after="20"/>
              <w:ind w:left="20"/>
              <w:jc w:val="both"/>
            </w:pPr>
            <w:r>
              <w:rPr>
                <w:rFonts w:ascii="Times New Roman"/>
                <w:b w:val="false"/>
                <w:i w:val="false"/>
                <w:color w:val="000000"/>
                <w:sz w:val="20"/>
              </w:rPr>
              <w:t xml:space="preserve">
(инъекцияға арналған ерітінді)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Сатрализумаб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 (Қатерлі гистоцитоз)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Дигидротахистерол (ішуге арналған тамшылар)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