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3b34" w14:textId="7a73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"Шет ауданының ауылдық округтерінің және кенттерінің 2025-2027 жылдарға арналған бюджеттерін бекіту туралы" № 19/168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26 қарашадағы № 27/244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2025-2027 жылдарға арналған бюджеттерін бекіту туралы" 2024 жылғы 24 желтоқсандағы №19/168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537628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461485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735777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110425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624032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765489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88077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20411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67666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92947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86854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69085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166860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92477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18456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73901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93295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98814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72363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103825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86561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84015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90396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84335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5068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79267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85494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54132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51216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54706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240672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234617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244616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116830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9959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106871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119289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183326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14356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168970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188094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68156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4635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63521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69158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69034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3138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65896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74712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225781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8721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217060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229742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56866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52630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61420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55798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5423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50375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58336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315075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13920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301155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319473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94993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5203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89790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97304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63885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46099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86218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316051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9912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306139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319030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525354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7055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518274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529180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92079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87971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95720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73285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5427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67858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78028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