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03e22" w14:textId="6403e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Шет ауданында оңайлатылған декларация негізінде арнаулы салық режимін қолдану кезінде салық мөлшерлемесінің мөлшерін төмендету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Шет аудандық мәслихатының 2025 жылғы 21 қарашадағы № 27/239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Салық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726 –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Шет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Шет ауданында оңайлатылған декларация негізінде арнаулы салық режимін қолдану кезінде төлем көзінен ұсталатын салықтарды қоспағанда, корпоративтік немесе жеке табыс салығының мөлшерлемесінің мөлшері 4 (төрт) пайыздан 2 (екі) пайызға төмендетілсін.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күннен кейін күнтізбелік 10 күн өткен соң қолданысқа енгізіледі және 2026 жылдың 1 қаңтарынан бастап туындағын құқықтық қатынастарға қолданылады.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С.Социал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