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3e22" w14:textId="640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21 қарашадағы № 27/239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4 (төрт) пайыздан 2 (екі)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10 күн өткен соң қолданысқа енгізіледі және 2026 жылдың 1 қаңтарынан бастап туындағын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