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6f32" w14:textId="e0a6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2024 жылғы 24 желтоқсандағы "Шет ауданының ауылдық округтерінің және кенттерінің 2025-2027 жылдарға арналған бюджеттерін бекіту туралы" № 19/168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2025 жылғы 4 шілдедегі № 25/223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2025-2027 жылдарға арналған бюджеттерін бекіту туралы" 2024 жылғы 24 желтоқсандағы №19/168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572760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516643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626113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828777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87004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740453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858489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87098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14949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72149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91968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84844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67075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164850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97477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12362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84995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98295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131281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128735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135116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85835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80767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86994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51216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54706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252771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246716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256715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123008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7909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115099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125467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200567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12042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188525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205335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96956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2744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94212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97958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66936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1769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65167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72614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199371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190650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203332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56482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52246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61036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59998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54575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62536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257017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7920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249097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261415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101015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95812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103326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</w:t>
      </w:r>
      <w:r>
        <w:rPr>
          <w:rFonts w:ascii="Times New Roman"/>
          <w:b w:val="false"/>
          <w:i w:val="false"/>
          <w:color w:val="000000"/>
          <w:sz w:val="28"/>
        </w:rPr>
        <w:t>а сәйкес, оның ішінде 2025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63231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45445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85564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301266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8712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292554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304245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558581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5155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553401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562407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89579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–4108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85471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93220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77256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71829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81999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№25/223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