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5d4" w14:textId="148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22 қыркүйектегі № 37/376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312 576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176 239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86 005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90 234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- 200 569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- 24 330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670 892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650 178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- 672 210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62 648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67 181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- 4 533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4 533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102 643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68 889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- 113 444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51 154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45 033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37 706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32 216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- 39 706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54 860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42 735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- 65 455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48 801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45 571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- 50 001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54 641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14 631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- 57 874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49 948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13 101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- 53 048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40 292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- 45 152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38 692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- 43 443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225 358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- 243 384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- 58 358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- 3 800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48 993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16 604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32 389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- 52 293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46 221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20 542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25 679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- 49 121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51 787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17 380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34 407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- 59 620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42 572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- 51 177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43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43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43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44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44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44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45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45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45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45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46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46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46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47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47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47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48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қыркүйектегі № 37/376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48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