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6e14" w14:textId="6cd6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4 сәуірдегі № 32/320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544 107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523 793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- 545 425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43 254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37 133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42 945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32 478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- 45 078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- 2 133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- 2 133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280 146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266 422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- 282 648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- 2 502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46 648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26 546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- 49 698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- 3 050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3 050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40 072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6 026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- 42 472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15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 " сәуірдегі № 32/320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15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