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3792" w14:textId="7e53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131 "2025-2027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 желтоқсандағы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131 "2025-2027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486 234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500 210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- 13 976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13 976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13 976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35 365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26 396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36 765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34 604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36 924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2 320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30 674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38 820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39 787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31 203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45 587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 – 2027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8 810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45 908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- 2 054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2 054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2 054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32 228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32 229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– 2027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29 308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–20 283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35 175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-5 867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5 867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5 867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24 892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26 420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- 1 528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1 528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1 528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31 014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2 644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31 910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-896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896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–38 574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29 989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40 274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1 700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1 700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тарма</w:t>
      </w:r>
      <w:r>
        <w:rPr>
          <w:rFonts w:ascii="Times New Roman"/>
          <w:b w:val="false"/>
          <w:i w:val="false"/>
          <w:color w:val="000000"/>
          <w:sz w:val="28"/>
        </w:rPr>
        <w:t>қ келесі редакцияда мазмұлдансын: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219 033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4 155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214 878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223 489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-4 456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-4 456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4 456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40 560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33 445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45 560 мың теңге;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-5 000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33 453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5 498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35 953 мың теңге;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 мың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38 153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8 826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29 327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42 936 мың теңге;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-4 783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4 783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4 783 мың теңге.".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– 2027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36 570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10 188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26 382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42 661 мың теңге; 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- 6 091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6 091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6 091 мың теңге.".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173 677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164 467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179 054 мың теңге; 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- 5 377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5 377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5 377 теңге.".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31 308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5 231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26 001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33 151 мың теңге; 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1 843 мың теңге.".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– 2027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43 065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5 220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37 845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44 065 мың теңге; 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43 864 мың теңге; 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-9 600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9 600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9 600 теңге.".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30 673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15 922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40 903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тивтерін сатудан түсетін түсімдер – 0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-10 230 теңге;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10 230 теңге, оның ішінде: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10 230 теңге.".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 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 налынатын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Шубаркөл кентінің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1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2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2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 ауылының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2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Изенді ауылының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трансферттерду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43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Ахмет ауылының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3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Куланөтпес ауылының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bookmarkStart w:name="z43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3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4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Көбетей ауылының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4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Карим Мыңбаев ауылының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5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5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46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 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6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 екәсіби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46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Жанбөбек ауылының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46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47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