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2e12" w14:textId="7d22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2024 жылғы 24 желтоқсандағы № 131 "2025-2027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17 қыркүйектегі № 175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2024 жылғы 24 желтоқсандағы № 131 "2025-2027 жылдарға арналған ауылдар,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204903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474 034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145 830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318 229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488 010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- 13 976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13 976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13 976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– 2027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32 104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25 695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34 424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2 320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– 2027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43 854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8 810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35 044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45 908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- 2 054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2 054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2 054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– 2027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27 672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18 647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649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8 376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35 539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-5 867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5 867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5 867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– 2027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30 514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26 482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30 514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– 2027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38 574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29 989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40 274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1 700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1 700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– 2027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166 292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163 035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170 748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-4 456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4 456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4 456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 – 2027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38 918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5 951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32 967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43 918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-5 000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5 000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– 2027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33 453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27 955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35 953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-2 500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2 500 мың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– 2027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173 713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164 503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179 090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- 5 377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5 377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5 377 теңге.".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– 2027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30 551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4 996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25 479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32 394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1 843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1 843 мың теңге.".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– 2027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49 097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11 123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37 974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52 147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- 3 050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3 050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3 050 теңге.".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– 2027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29 994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2 777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27 217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31 394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теңге.".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– 2027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34 264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34 255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43 864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-9 600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9 600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9 600 теңге.".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– 2027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30 253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15 502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14 751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40 483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тивтерін сатудан түсетін түсімдер – 0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-10 230 теңге;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10 230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10 230 теңге.".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Нұра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кентінің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жәнеб 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 налынатын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Мұзбел ауылының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 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Шахтер ауылының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жылғаарналған Ахмет ауылының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Жараспай ауылының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__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1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Көбетей ауылының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1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Ақмешіт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Байтуған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2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Карим Мыңбаев ауылының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2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 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32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 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 екәсіби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33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Баршино ауылының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33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Куланутпес ауылының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33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Ткенекті ауылының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33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