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6cb8" w14:textId="10e6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7 "2025-2027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17 ақпандағы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желтоқсаңдағы №7 "2025-2027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237 190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96 394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139 477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241 071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107 856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45 680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62 176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109 426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133 973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86 853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47 120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134 091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106 671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45 777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60 689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137 178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30 507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97 992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42 710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55 282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106 599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73 109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11 417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61 692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75 407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76 657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17 679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58 978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77 610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51 863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17 765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34 098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54 337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87 910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18 252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69 128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88 357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137 625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91 092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131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46 402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143 704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6 079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128 075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8 819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119 256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129 229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1 154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40 964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4 564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36 400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41 040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34 782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2 561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32 221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35 062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108 492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4 749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103 743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109 278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49 050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8 476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40 574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53 746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4 696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33 553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2 152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31 401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36 886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48 503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45 083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48 756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40 689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49 048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5 913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43 135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49 262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214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38 512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61 194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10 313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50 881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67 378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6 184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2025-2027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50 878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8 147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42 731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53 070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66 433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10 237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55 756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66 835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100 924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25 929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74 995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107 812 мың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6 888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64 075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7 616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56 459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68 474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4 399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2025-2027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38 832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1 674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37 158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39 020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33 637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46 937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12 631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34 306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51 047 мың теңге; 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4 110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2025-2027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104 398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8 612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95 786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105 174 мың теңге; 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81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56 088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6 806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49 282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56 563 мың теңге; 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56 978 мың теңге, оның ішінде: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12 500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44 478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57 127 мың теңге; 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мың теңге.";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21 036 мың теңге, оның ішінде: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11 482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8 904 мың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58 437 мың теңге; 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37 401 мың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мың теңге.";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енгізілсің.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50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51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51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51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519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Керней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22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2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2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3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3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40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52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5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Жанаталап ауылының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Қаражар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6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7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57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57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57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58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58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Центральный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58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Шешенқара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