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b9e2" w14:textId="d23b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қыркүйектегі № 66/01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"Hematitex" жауапкершілігі шектеулі серіктестігіне пайдалы қазбаларды барлау үшін, жалпы көлемі 435,9183 гектар жер учаскесін меншік иелері мен жер пайдаланушылардан алып қоймай, 2030 жылдың 1 шілдесіне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"Hematitex"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66/01 қаулысына қосымша</w:t>
            </w:r>
          </w:p>
        </w:tc>
      </w:tr>
    </w:tbl>
    <w:bookmarkStart w:name="z12" w:id="6"/>
    <w:p>
      <w:pPr>
        <w:spacing w:after="0"/>
        <w:ind w:left="0"/>
        <w:jc w:val="left"/>
      </w:pPr>
      <w:r>
        <w:rPr>
          <w:rFonts w:ascii="Times New Roman"/>
          <w:b/>
          <w:i w:val="false"/>
          <w:color w:val="000000"/>
        </w:rPr>
        <w:t xml:space="preserve"> "Hematitex"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