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43f7" w14:textId="1394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 251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29 қыркүйектегі № 328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421810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377804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-7190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7190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7190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229254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49509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6446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173299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228166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1088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-1088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-1088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282581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27951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9067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244538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289615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-7034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7034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7034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72770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1628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71142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73564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-794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794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794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62907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20703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42204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69849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-6942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6942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43962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43309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68489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-24527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24527 мың теңге: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24527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58238 мың теңге, оның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16877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41165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58238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59259 мың теңге, оның ішінде: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48568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60080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-821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821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59300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18552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40748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70850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-11550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11550 мың теңге: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11550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56959 мың теңге, оның ішінде: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10893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46066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56959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44984 мың теңге, оның ішінде: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27742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16634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55934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-10950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10950 мың теңге: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10950 мың теңге.";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128748 мың теңге, оның ішінде: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7439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120696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128459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289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-289 мың теңге: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-289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– 2027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97474 мың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23020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74454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93207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4267 мың теңге;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-4267 мың теңге: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-4267 мың теңге.";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2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3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3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4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4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