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fae3" w14:textId="cedf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"Ақтоғай ауданының кенттерінің, ауыл, ауылдық округтерінің 2025-2027 жылдарға арналған бюджеті туралы" 2024 жылғы 26 желтоқсандағы № 251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2025 жылғы 22 шілдедегі № 311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"Ақтоғай ауданының кенттерінің, ауыл, ауылдық округтерінің 2025-2027 жылдарға арналған бюджеті туралы" 2024 жылғы 26 желтоқсандағы № 251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374518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332804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380907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-6389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6389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6389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 – 2027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181607 мың теңге,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36552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1068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143987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181609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 – 2027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235810 мың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21592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985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9067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204166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242844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-7034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7034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7034 мың теңге.";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 – 2027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69694 мың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1607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68087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69694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 – 2027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63132 мың теңге, оның ішінде: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20703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42429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70074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-6942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6942 мың теңге: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6942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 – 2027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65863 мың теңге, оның ішінде: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65238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625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75310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-9447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9447 мың теңге: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9447 мың теңге.";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 – 2027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57440 мың теңге, оның ішінде: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16079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196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41165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57845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-405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405 мың теңге: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405 мың теңге.";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 – 2027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66826 теңге, оның ішінде: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10569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610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55647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70190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-3364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3364 мың теңге: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3364 мың теңге.";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 – 2027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49581 мың теңге, оның ішінде: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10691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38890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50402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-821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821 мың теңге: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821 мың теңге.";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 – 2027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55046 мың теңге, оның ішінде: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17968 мың теңге;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37078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58457 мың теңге;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-3411 мың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3411 мың теңге: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3411 мың теңге.";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 – 2027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82320 мың теңге, оның ішінде: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2692 мың теңге;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79628 мың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82320 мың теңге;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 – 2027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68503 мың теңге, оның ішінде: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30102 мың теңге;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38401 мың теңге;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68503 мың теңге;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 – 2027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55338 мың теңге, оның ішінде: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8172 мың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47166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55338 мың теңге;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 – 2027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111221 мың теңге, оның ішінде: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6294 мың теңге;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104927 мың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111222 мың теңге;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мың теңге;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мың теңге: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енеді.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2025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2025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2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2025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2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2025 жылға арналған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2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2025 жылға арналған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2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2025 жылға арналған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3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2025 жылға арналған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3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2025 жылға арналған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3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2025 жылға арналған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4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2025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4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2025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4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2025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25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2025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25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2025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25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ауыл, кенттер, ауылдық округтер бюджеттеріне аудандық бюджеттен нысаналы трансферттер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