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649a" w14:textId="84b6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"DAV Minerals" жауапкершілігі шектеулі серіктестігіне пайдалы қатты қазбаларды барлау жөніндегі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5 маусымдағы № 27/10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"DAV Minerals" жауапкершілігі шектеулі серіктестігінің өтінішін қарастырып, 2023 жылғы 20 ақпанындағы пайдалы қатты қазбаларды барлауға арналған №1963 -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"DAV Minerals" жауапкершілігі шектеулі серіктестігіне пайдалы қатты қазбаларды барлау операцияларды жүзеге асыру үшін, Балқаш қаласы, Гүлшат кентінің солтүстік - шығысында орналасқан, ауданы 100 гектар жер учаскесіне жер пайдаланушылардан жер учаскелерді алып қоймай 2029 жылдың 21 ақпанына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"DAV Minerals"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