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5e43" w14:textId="c805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бағаларын бекіту туралы" Қазақстан Республикасы Энергетика министрінің 2023 жылғы 22 желтоқсандағы № 458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30 шiлдедегi № 298-н/қ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01.08.2025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бағаларын бекіту туралы" Қазақстан Республикасы Энергетика министрінің 2023 жылғы 22 желтоқсандағы № 458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автогаз құю станциялары үшін тауар биржаларынан тыс Қазақстан Республикасының ішкі нарығына сұйытылған мұнай газын жеткізу жоспары шеңберінде сұйытылған мұнай газын бөлшек саудада өткізудің </w:t>
      </w:r>
      <w:r>
        <w:rPr>
          <w:rFonts w:ascii="Times New Roman"/>
          <w:b w:val="false"/>
          <w:i w:val="false"/>
          <w:color w:val="000000"/>
          <w:sz w:val="28"/>
        </w:rPr>
        <w:t>шекті бағалары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2025 жылғы 1 тамыздан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30 шілдедегі</w:t>
            </w:r>
            <w:r>
              <w:br/>
            </w:r>
            <w:r>
              <w:rPr>
                <w:rFonts w:ascii="Times New Roman"/>
                <w:b w:val="false"/>
                <w:i w:val="false"/>
                <w:color w:val="000000"/>
                <w:sz w:val="20"/>
              </w:rPr>
              <w:t>№ 298-н/қ</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жылғы___________</w:t>
            </w:r>
            <w:r>
              <w:br/>
            </w:r>
            <w:r>
              <w:rPr>
                <w:rFonts w:ascii="Times New Roman"/>
                <w:b w:val="false"/>
                <w:i w:val="false"/>
                <w:color w:val="000000"/>
                <w:sz w:val="20"/>
              </w:rPr>
              <w:t>№____бұйрығына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458 бұйрығымен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Қазақстан Республикасының аумағындағы автогаз құю станциялары үшін Қазақстан Республикасының ішкі нарығына сұйытылған мұнай газын беру жоспары шеңберінде тауар биржаларынан тыс сұйытылған мұнай газын бөлшек саудада өткізудің шекті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нарығының географиялық шекаралары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аудандарды қоспағанда, қосылған құн салығымен шекті бөлшек сауда бағасы, 1 литр үшін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орталығынан 200 (екі жүз) километрден астам қашықтықта орналасқан шалғай аудандар үшін қосылған құн салығымен шекті бөлшек сауда бағасы, 1 литр үшін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