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3c6b0" w14:textId="f43c6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ақпарат министрлігі Этносаралық қатынастарды дамыту комитеті "Қоғамдық келісім" республикалық мемлекеттік мекемесінің заттай нормаларын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4 маусымдағы № 258-НҚ бұйрығы</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70-бабына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телефон байланысымен қамтамасыз етудің заттай нормалары;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кеңсе жиһазымен қамтамасыз етудің заттай нормалары;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оларды орналастыру үшін алаңдармен қамтамасыз етудің заттай нормалары;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қызметтік және кезекші автомобильдермен қамтамасыз етудің заттай нормалары бекітілсін.</w:t>
      </w:r>
    </w:p>
    <w:bookmarkEnd w:id="5"/>
    <w:bookmarkStart w:name="z7" w:id="6"/>
    <w:p>
      <w:pPr>
        <w:spacing w:after="0"/>
        <w:ind w:left="0"/>
        <w:jc w:val="both"/>
      </w:pPr>
      <w:r>
        <w:rPr>
          <w:rFonts w:ascii="Times New Roman"/>
          <w:b w:val="false"/>
          <w:i w:val="false"/>
          <w:color w:val="000000"/>
          <w:sz w:val="28"/>
        </w:rPr>
        <w:t>
      2. Қазақстан Республикасы Мәдениет және ақпарат министрлігінің Этносаралық қатынастарды дамыту комитеті Қазақстан Республикасының заңнамасында белгіленген тәртіппен:</w:t>
      </w:r>
    </w:p>
    <w:bookmarkEnd w:id="6"/>
    <w:bookmarkStart w:name="z8" w:id="7"/>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9"/>
    <w:bookmarkStart w:name="z11" w:id="10"/>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Мәдениет және ақпарат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Ысқақов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p>
        </w:tc>
      </w:tr>
    </w:tbl>
    <w:bookmarkStart w:name="z13" w:id="11"/>
    <w:p>
      <w:pPr>
        <w:spacing w:after="0"/>
        <w:ind w:left="0"/>
        <w:jc w:val="left"/>
      </w:pPr>
      <w:r>
        <w:rPr>
          <w:rFonts w:ascii="Times New Roman"/>
          <w:b/>
          <w:i w:val="false"/>
          <w:color w:val="000000"/>
        </w:rPr>
        <w:t xml:space="preserve"> Телефон байланысымен қамтамасыз етудің заттай нормалары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ішіндегі қалааралық телефон байланысы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басшысы, оның орынбасарлары; басшының қабылдау бөлмесі; құрылымдық бөлімшелердің басшылары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елдерімен халықаралық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басшысы, оның орынбасарлары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 елдермен халықаралық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нөмірлермен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жұмыскерлері – (басшысы, оның орынбасарлары; басшылардың қабылдау бөлмесі; құрылымдық бөлімшелердің басшылары, бас бухгалтер, бас сарапшылар – бір-бір нөмірден, сарапшылар - екеуіне бір нөмір), өзге де жұмыскерлер</w:t>
            </w:r>
          </w:p>
        </w:tc>
      </w:tr>
    </w:tbl>
    <w:bookmarkStart w:name="z14" w:id="12"/>
    <w:p>
      <w:pPr>
        <w:spacing w:after="0"/>
        <w:ind w:left="0"/>
        <w:jc w:val="both"/>
      </w:pPr>
      <w:r>
        <w:rPr>
          <w:rFonts w:ascii="Times New Roman"/>
          <w:b w:val="false"/>
          <w:i w:val="false"/>
          <w:color w:val="000000"/>
          <w:sz w:val="28"/>
        </w:rPr>
        <w:t>
      Ескертпе:</w:t>
      </w:r>
    </w:p>
    <w:bookmarkEnd w:id="12"/>
    <w:p>
      <w:pPr>
        <w:spacing w:after="0"/>
        <w:ind w:left="0"/>
        <w:jc w:val="both"/>
      </w:pPr>
      <w:r>
        <w:rPr>
          <w:rFonts w:ascii="Times New Roman"/>
          <w:b w:val="false"/>
          <w:i w:val="false"/>
          <w:color w:val="000000"/>
          <w:sz w:val="28"/>
        </w:rPr>
        <w:t>
      Аталған телефон байланысының түрі стационарлық телефоннан мобильді байланыс желісіне шалынатын қоңырауды да қамтиды.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bl>
    <w:bookmarkStart w:name="z16" w:id="13"/>
    <w:p>
      <w:pPr>
        <w:spacing w:after="0"/>
        <w:ind w:left="0"/>
        <w:jc w:val="left"/>
      </w:pPr>
      <w:r>
        <w:rPr>
          <w:rFonts w:ascii="Times New Roman"/>
          <w:b/>
          <w:i w:val="false"/>
          <w:color w:val="000000"/>
        </w:rPr>
        <w:t xml:space="preserve"> Кеңсе жиһазымен қамтамасыз етудің заттай нормалары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жиһазының саны (1 бірлікке)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стеллаждар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жұмыскері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стеллаждар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7" w:id="14"/>
    <w:p>
      <w:pPr>
        <w:spacing w:after="0"/>
        <w:ind w:left="0"/>
        <w:jc w:val="both"/>
      </w:pPr>
      <w:r>
        <w:rPr>
          <w:rFonts w:ascii="Times New Roman"/>
          <w:b w:val="false"/>
          <w:i w:val="false"/>
          <w:color w:val="000000"/>
          <w:sz w:val="28"/>
        </w:rPr>
        <w:t>
      Ескертпе:</w:t>
      </w:r>
    </w:p>
    <w:bookmarkEnd w:id="14"/>
    <w:p>
      <w:pPr>
        <w:spacing w:after="0"/>
        <w:ind w:left="0"/>
        <w:jc w:val="both"/>
      </w:pPr>
      <w:r>
        <w:rPr>
          <w:rFonts w:ascii="Times New Roman"/>
          <w:b w:val="false"/>
          <w:i w:val="false"/>
          <w:color w:val="000000"/>
          <w:sz w:val="28"/>
        </w:rPr>
        <w:t>
      Аталған заттай нормалар қосалқы үй-жайларға (келіссөз жүргізуге арналған үй-жайлар, конференц-залдар, вестибюль, дәліздер, архив) кеңсе жиһазын сатып алуға қолданылмайды, оларға кеңсе жиһазын сатып алу тиісті қаржы жылына арналған бюджетте көзделген қаражат шегінде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p>
        </w:tc>
      </w:tr>
    </w:tbl>
    <w:bookmarkStart w:name="z19" w:id="15"/>
    <w:p>
      <w:pPr>
        <w:spacing w:after="0"/>
        <w:ind w:left="0"/>
        <w:jc w:val="left"/>
      </w:pPr>
      <w:r>
        <w:rPr>
          <w:rFonts w:ascii="Times New Roman"/>
          <w:b/>
          <w:i w:val="false"/>
          <w:color w:val="000000"/>
        </w:rPr>
        <w:t xml:space="preserve"> Орналастыру үшін алаңмен қамтамасыз етудің заттай нормалары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(бұдан әрі –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(конференц-зал, архив, серверлік, қойма жабдықтары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Достық үйінің ғимараты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(конференц-зал, кино залы, холл, қоймалар, тамақ ішетін зал, асүй, проектор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жуатын бөлме, электр қалқаны, дәретханалар, жеке гигиенаға арналған үй-жайлар, баспалдақ алаңы, тамбур)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bl>
    <w:bookmarkStart w:name="z20" w:id="16"/>
    <w:p>
      <w:pPr>
        <w:spacing w:after="0"/>
        <w:ind w:left="0"/>
        <w:jc w:val="both"/>
      </w:pPr>
      <w:r>
        <w:rPr>
          <w:rFonts w:ascii="Times New Roman"/>
          <w:b w:val="false"/>
          <w:i w:val="false"/>
          <w:color w:val="000000"/>
          <w:sz w:val="28"/>
        </w:rPr>
        <w:t>
      Ескертпе:</w:t>
      </w:r>
    </w:p>
    <w:bookmarkEnd w:id="16"/>
    <w:p>
      <w:pPr>
        <w:spacing w:after="0"/>
        <w:ind w:left="0"/>
        <w:jc w:val="both"/>
      </w:pPr>
      <w:r>
        <w:rPr>
          <w:rFonts w:ascii="Times New Roman"/>
          <w:b w:val="false"/>
          <w:i w:val="false"/>
          <w:color w:val="000000"/>
          <w:sz w:val="28"/>
        </w:rPr>
        <w:t>
      Егер мемлекеттік мекемелердің ғимараттарындағы қызметтік үй-жайларды жоспарлау ерекшелігі осы аудандарды қысқартуға мүмкіндік бермейтін жағдайда, қызметтік алаңдардың заттай нормаларын асыруға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4-қосымша</w:t>
            </w:r>
          </w:p>
        </w:tc>
      </w:tr>
    </w:tbl>
    <w:bookmarkStart w:name="z22" w:id="17"/>
    <w:p>
      <w:pPr>
        <w:spacing w:after="0"/>
        <w:ind w:left="0"/>
        <w:jc w:val="left"/>
      </w:pPr>
      <w:r>
        <w:rPr>
          <w:rFonts w:ascii="Times New Roman"/>
          <w:b/>
          <w:i w:val="false"/>
          <w:color w:val="000000"/>
        </w:rPr>
        <w:t xml:space="preserve"> Қызметтік және кезекші автомобильдермен қамтамасыз етудің заттай нормалары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 текше сантиметрмен алғанда (автобустардан басқа)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автомобильдің бір айдағы жүруі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қызметтік (1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кезекші (оның ішінде автобустар)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 Этносаралық қатынастарды дамыту комитетінің "Қоғамдық келісім" республикалық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3000-ден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2600-ден көп емес</w:t>
            </w:r>
          </w:p>
        </w:tc>
      </w:tr>
    </w:tbl>
    <w:bookmarkStart w:name="z23" w:id="18"/>
    <w:p>
      <w:pPr>
        <w:spacing w:after="0"/>
        <w:ind w:left="0"/>
        <w:jc w:val="both"/>
      </w:pPr>
      <w:r>
        <w:rPr>
          <w:rFonts w:ascii="Times New Roman"/>
          <w:b w:val="false"/>
          <w:i w:val="false"/>
          <w:color w:val="000000"/>
          <w:sz w:val="28"/>
        </w:rPr>
        <w:t>
      Ескертпе:</w:t>
      </w:r>
    </w:p>
    <w:bookmarkEnd w:id="18"/>
    <w:bookmarkStart w:name="z24" w:id="19"/>
    <w:p>
      <w:pPr>
        <w:spacing w:after="0"/>
        <w:ind w:left="0"/>
        <w:jc w:val="both"/>
      </w:pPr>
      <w:r>
        <w:rPr>
          <w:rFonts w:ascii="Times New Roman"/>
          <w:b w:val="false"/>
          <w:i w:val="false"/>
          <w:color w:val="000000"/>
          <w:sz w:val="28"/>
        </w:rPr>
        <w:t>
      Аталған заттай нормалардағы қызметтік автомобильдерге арналған жүру лимиті мемлекеттік мекеменің басшысын, мемлекеттік мекеме басшысының орынбасарын қызметтік автокөлікпен жақын елдi мекендерге іссапарға жіберген жағдайлардағы жүруді қамтымайды.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