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e8e6" w14:textId="b71e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арнайы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20 мамырдағы № 11-1-4/289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 бабы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Сыртқы істер министрлігінің арнайы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Қамтамасыз ету және құжат айналымы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жолдануды;</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11-1-4/289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Сыртқы істер министрлігінің арнайы көлік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пайдалануға құқығы бар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шекті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ресми жұмыс сапарларымен немесе жол жүру сапарларымен келетін мемлекет басшыларының, үкіметтердің, Сыртқы істер министрлерінің сапарларын қамтамасыз ету;</w:t>
            </w:r>
          </w:p>
          <w:p>
            <w:pPr>
              <w:spacing w:after="20"/>
              <w:ind w:left="20"/>
              <w:jc w:val="both"/>
            </w:pPr>
            <w:r>
              <w:rPr>
                <w:rFonts w:ascii="Times New Roman"/>
                <w:b w:val="false"/>
                <w:i w:val="false"/>
                <w:color w:val="000000"/>
                <w:sz w:val="20"/>
              </w:rPr>
              <w:t>
Төтенше және өкілетті елшілерді қарсы алу және шығарып салу;</w:t>
            </w:r>
          </w:p>
          <w:p>
            <w:pPr>
              <w:spacing w:after="20"/>
              <w:ind w:left="20"/>
              <w:jc w:val="both"/>
            </w:pPr>
            <w:r>
              <w:rPr>
                <w:rFonts w:ascii="Times New Roman"/>
                <w:b w:val="false"/>
                <w:i w:val="false"/>
                <w:color w:val="000000"/>
                <w:sz w:val="20"/>
              </w:rPr>
              <w:t>
Дипломатиялық корпустың қатысуымен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Мемлекеттік протокол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көлік құралы-Қазақстанға ресми жұмыс сапарларымен немесе жол жүру сапарларымен келетін мемлекеттер басшыларының, үкіметтердің, Сыртқы істер министрлерінің сапарларын қамтамасыз етуге арналған жеңіл автомобиль базасындағы көлік құралы; Төтенше және өкілетті елшілерді қарсы алу және шығарып салу; дипломатиялық корпустың қатысуымен іс-шараларды ұйымдастыру және өткізу.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