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e0c" w14:textId="ebd4e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бұйрығына өзгеріс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17 қарашадағы № 387 бұйрығы</w:t>
      </w:r>
    </w:p>
    <w:p>
      <w:pPr>
        <w:spacing w:after="0"/>
        <w:ind w:left="0"/>
        <w:jc w:val="both"/>
      </w:pPr>
      <w:bookmarkStart w:name="z4" w:id="0"/>
      <w:r>
        <w:rPr>
          <w:rFonts w:ascii="Times New Roman"/>
          <w:b w:val="false"/>
          <w:i w:val="false"/>
          <w:color w:val="000000"/>
          <w:sz w:val="28"/>
        </w:rPr>
        <w:t>
      БҰЙРАМЫН: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Көлік министрлігінің Теміржол және су көлігі комитеті" республикалық мемлекеттік мекемесінің, "Қазақстан Республикасы Көлік министрлігінің Автомобиль көлігі және көліктік бақылау комитеті" республикалық мемлекеттік мекемесінің және оның аумақтық бөлімшелерінің ережелерін бекіту туралы" Қазақстан Республикасы Көлік министрінің 2023 жылғы 10 қазандағы № 19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Теміржол және су көлігі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114) тармақшасы</w:t>
      </w:r>
      <w:r>
        <w:rPr>
          <w:rFonts w:ascii="Times New Roman"/>
          <w:b w:val="false"/>
          <w:i w:val="false"/>
          <w:color w:val="000000"/>
          <w:sz w:val="28"/>
        </w:rPr>
        <w:t xml:space="preserve"> мынадай редакцияда жазылсын: </w:t>
      </w:r>
    </w:p>
    <w:bookmarkEnd w:id="3"/>
    <w:bookmarkStart w:name="z8" w:id="4"/>
    <w:p>
      <w:pPr>
        <w:spacing w:after="0"/>
        <w:ind w:left="0"/>
        <w:jc w:val="both"/>
      </w:pPr>
      <w:r>
        <w:rPr>
          <w:rFonts w:ascii="Times New Roman"/>
          <w:b w:val="false"/>
          <w:i w:val="false"/>
          <w:color w:val="000000"/>
          <w:sz w:val="28"/>
        </w:rPr>
        <w:t>
      "114) iшкi су жолдарын кеме қатынасы санатына жатқызу қағидаларын және кеме қатынасы су жолдарының тізбесін әзірлеу;".</w:t>
      </w:r>
    </w:p>
    <w:bookmarkEnd w:id="4"/>
    <w:bookmarkStart w:name="z9" w:id="5"/>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мемлекеттік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