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46fb" w14:textId="8204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Ғылым және жоғары білім министрінің 2024 жылғы 26 сәуірдегі № 193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29 қазандағы № 497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65-бабының 3-тармағына және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бұйрығымен бекітілген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қағидаларының</w:t>
      </w:r>
      <w:r>
        <w:rPr>
          <w:rFonts w:ascii="Times New Roman"/>
          <w:b w:val="false"/>
          <w:i w:val="false"/>
          <w:color w:val="000000"/>
          <w:sz w:val="28"/>
        </w:rPr>
        <w:t xml:space="preserve"> 34-1-тармағына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Ғылым және жоғары білім министрінің 2024 жылғы 26 сәуірдегі № 193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"2025-2026 оқу жылына магистрлерді даярлауға арналған мемлекеттік білім беру тапсырысы" деген бөлім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153"/>
        <w:gridCol w:w="1051"/>
        <w:gridCol w:w="6985"/>
        <w:gridCol w:w="971"/>
        <w:gridCol w:w="613"/>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Даярлау бағытының коды және атауы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бағдарламасы тобының нөмірі</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Ғылыми-педагогикалық магистратура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магистратура</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3044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КЕАҚ базасында Берлин техникалық университетінің филиалында магистранттарды оқытуға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10654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10974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көрсетілген бұйрыққа 3-қосымшада:</w:t>
      </w:r>
    </w:p>
    <w:bookmarkEnd w:id="6"/>
    <w:bookmarkStart w:name="z11" w:id="7"/>
    <w:p>
      <w:pPr>
        <w:spacing w:after="0"/>
        <w:ind w:left="0"/>
        <w:jc w:val="both"/>
      </w:pPr>
      <w:r>
        <w:rPr>
          <w:rFonts w:ascii="Times New Roman"/>
          <w:b w:val="false"/>
          <w:i w:val="false"/>
          <w:color w:val="000000"/>
          <w:sz w:val="28"/>
        </w:rPr>
        <w:t>
      "2025-2026 оқу жылына PhD докторларын даярлауға арналған мемлекеттік білім беру тапсырысы" деген бөлім мынадай редакцияда жазылсын:</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3851"/>
        <w:gridCol w:w="1823"/>
        <w:gridCol w:w="3066"/>
        <w:gridCol w:w="1459"/>
        <w:gridCol w:w="1129"/>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Даярлау бағытының коды және класификациясы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бағдарламасы тобының коды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тобының атауы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Ғылыми-педагогикалық докторантура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Бейінді докторантура</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Өндірістегі еңбекті қорғау және гигиена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жұмыс</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2697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адамдарды оқытуға арналған стипендиялық бағдарлама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