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3ee" w14:textId="e31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31 желтоқсандағы XXVIII сессиясының "2025-2027 жылдарға арналған кенттер, ауылдық округтер бюджеттері туралы" № 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5 желтоқсандағы № 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"2025-2027 жылдарға арнаған кенттер, ауылдық округтер бюджеттері туралы" 2024 жылғы 31 желтоқсандағы №179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271 038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259 861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290 074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317 073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289 934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338 871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98 275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96 025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98 282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250 026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15 332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234 694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255 511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-5 485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5 485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5 485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75 149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71 191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65 696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71 194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74 520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72 373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74 559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97 614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96 960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83 899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79 057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83 903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66 434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53 097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66 438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571 371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560 790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571 374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105 513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100 859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105 546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176 826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173 738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176 831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110 155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88 418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151 568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146 666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151 570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4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