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7a68" w14:textId="782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31 желтоқсандағы XXVIII сессиясының "2025-2027 жылдарға арналған кенттер, ауылдық округтер бюджеттері туралы" № 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30 қыркүйектегі № 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"2025-2027 жылдарға арнаған кенттер, ауылдық округтер бюджеттері туралы" 2024 жылғы 31 желтоқсандағы №179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275061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263 884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294 097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-19 036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19 036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327 377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300 238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349 175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-21 798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21 798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21 798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101 211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99 765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302 681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40 128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262 553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302 685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65 166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75 149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71 399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65 904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71 402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74 686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72 539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74 725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95 896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95 242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95 899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83 999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79 157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84 003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70 039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56 702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70 043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317 144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307 163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317 147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106 009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101 355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106 042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177 495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174 407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177 500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110 155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21 737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88 418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110 163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151 568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146 666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151 570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