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5ea" w14:textId="d06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31 желтоқсандағы XXVIII сессиясының "2025-2027 жылдарға арналған кенттер, ауылдық округтер бюджеттері туралы" № 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7 наурыздағы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"2025-2027 жылдарға арнаған кенттер, ауылдық округтер бюджеттері туралы" 2024 жылғы 31 желтоқсандағы №179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260 066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248 889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279 102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352 458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325 319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374 256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79 990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81 443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297 448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40 128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257 320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297 452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7 749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70 408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78 161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69 027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63 532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69 030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77 986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75 839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78 025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108 783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108 129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108 786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83 862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79 020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83 866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67 206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53 869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312 406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302 425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312 409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104 713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100 059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104 746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189 557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186 469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189 562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131 592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11 737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119 855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131 600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141 547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136 645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141 549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