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e3db" w14:textId="354e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26 желтоқсандағы № 24/151 "2025-2027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6 қарашадағы № 33/195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кенттер және ауылдық округтердің бюджеті туралы" 2024 жылғы 26 желтоқсандағы №24/151 (Нормативтік құқықтық актілерді мемлекеттік тіркеу тізілімінде № 205176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565 353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208 113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356 700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692 525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- 127 172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127 172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127 172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2025-2027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46 312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38 180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47 628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- 1 316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1 316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1 316 мың теңге";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188 176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272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179 323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248 176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- 60 000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60 000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 мың теңге";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215 315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4 499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210 705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217 775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- 2 460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2 460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2 460 мың теңге";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57 972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5 938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51 450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62 449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-4 477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4 477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4 477 мың теңге";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58 469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14 642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676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43 041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70 822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- 12 353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12 353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12 353 мың теңге";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88 849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11 134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77 429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96 853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- 8 004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8 004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8 004 мың теңге";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49 428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1 615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47 702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56 234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- 6 806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6 806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6 806 мың теңге";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229 585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8 428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220 935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237 952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- 8 367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8 367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8 367 мың теңге";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70 750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3 758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66 771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75 639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- 4 889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4 889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4 889 мың теңге";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106 950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25 521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81 406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124 902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- 17 952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17 952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17 952 мың теңге";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69 930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179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67 474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69 930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Жаңаарқа кентінің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Байдалы би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5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Мұқажан Жұмажанов атындағы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Ералиев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Қараағаш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6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кентінің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Түгіскен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2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Орынбай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 №33/195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төменгі тұрған бюджеттерге берілетін нысаналы ағымдағы трансферттер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