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1f47" w14:textId="52a1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2024 жылғы 26 желтоқсандағы № 24/151 "2025-2027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28 шілдедегі № 30/181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"2025-2027 жылдарға арналған кенттер және ауылдық округтердің бюджеті туралы" 2024 жылғы 26 желтоқсандағы №24/151 (Нормативтік құқықтық актілерді мемлекеттік тіркеу тізілімінде № 205176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532 382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200 613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331 229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659 554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- 127 172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127 172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127 172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46 312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38 180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47 314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- 1002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 мың теңге";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188 176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8 581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272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179 323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248 176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- 60 000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60 000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60 000 мың теңге";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43 492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41 971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43 492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215 315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4 499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210 705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217 425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- 2 110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2 110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2 110 мың теңге";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57 972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5 938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51 450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62 449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- 4 477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4 477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4 477 мың теңге";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58 469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14 642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676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43 041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67 130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- 8 661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8 661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8 661 мың теңге";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78 165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11 134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286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66 745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78 169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229 585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8 428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220 935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237 751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- 8 166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8 166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8 166 мың теңге";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35 926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3 508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31 978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47 031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- 11 105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11 105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11 105 мың теңге";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70 750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3 758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221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66 771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74 179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- 3 429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3 429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3 429 мың теңге";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106 950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25 267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277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81 406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124 902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- 17 952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17 952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17 952 мың теңге";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69 930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179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67 474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69 930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5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Жаңаарқа кентінің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7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7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Байдалы би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Мұқажан Жұмажанов атындағы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8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Ералиев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кентінің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Сейфуллин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2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Талдыбұлақ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29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Түгіскен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2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Орынбай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0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төменгі тұрған бюджеттерге берілетін нысаналы ағымдағы трансферттер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