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9b09" w14:textId="dc89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 бойынша коммуналдық қалдықтардын түзілу және жинақталу нормаларын,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21 қазандағы № 21/230-VIII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Экология, геология және табиғи ресурстар министрінің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№24212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Жаңасемей ауданы бойынша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 бойынша тұрмыстық қатты қалдықтарды жинауға, тасымалдауға, сұрыптауға және көмуге арналған тарифтер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Жылна 1 тұрғынға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(ҚҚС-мен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