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777c" w14:textId="2c97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20/392-VІII "2025-2027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29/499-VIII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Суықбұлақ кентінің бюджеті туралы" Жарма аудандық мәслихатының 2025 жылғы 05 қаңтардағы № 20/392-VIІI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78 892,1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16 546,0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62 346,1 мың теңге;</w:t>
      </w:r>
    </w:p>
    <w:bookmarkEnd w:id="7"/>
    <w:bookmarkStart w:name="z16" w:id="8"/>
    <w:p>
      <w:pPr>
        <w:spacing w:after="0"/>
        <w:ind w:left="0"/>
        <w:jc w:val="both"/>
      </w:pPr>
      <w:r>
        <w:rPr>
          <w:rFonts w:ascii="Times New Roman"/>
          <w:b w:val="false"/>
          <w:i w:val="false"/>
          <w:color w:val="000000"/>
          <w:sz w:val="28"/>
        </w:rPr>
        <w:t>
      2) шығындар – 82 033,5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- 3 141,4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3 141,4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3 141,4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№29/499-VIII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№20/392-VIII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