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da6d" w14:textId="396d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20/392-VІII "2025-2027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21/420-VIII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туралы" Жарма аудандық мәслихатының 2025 жылғы 05 қаңтардағы № 20/392-VIІI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59 498,0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16 546,0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42 952,0 мың теңге;</w:t>
      </w:r>
    </w:p>
    <w:bookmarkEnd w:id="7"/>
    <w:bookmarkStart w:name="z16" w:id="8"/>
    <w:p>
      <w:pPr>
        <w:spacing w:after="0"/>
        <w:ind w:left="0"/>
        <w:jc w:val="both"/>
      </w:pPr>
      <w:r>
        <w:rPr>
          <w:rFonts w:ascii="Times New Roman"/>
          <w:b w:val="false"/>
          <w:i w:val="false"/>
          <w:color w:val="000000"/>
          <w:sz w:val="28"/>
        </w:rPr>
        <w:t>
      2) шығындар – 62 639,4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- 3 141,4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3 141,4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3 141,4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21/420-VIII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20/392-VIІI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