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112d" w14:textId="d411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20/382-VIІI "2025-2027 жылдарға арналған Жарма ауданы Бірлікшіл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27 ақпандағы № 21/410-VIII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Бірлікшіл ауылдық округінің бюджеті туралы" Жарма аудандық мәслихатының 2025 жылғы 05 қаңтардағы № 20/382-VIІI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2025-2027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30 105,0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8 072,0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22 033,0 мың теңге;</w:t>
      </w:r>
    </w:p>
    <w:bookmarkEnd w:id="7"/>
    <w:bookmarkStart w:name="z14" w:id="8"/>
    <w:p>
      <w:pPr>
        <w:spacing w:after="0"/>
        <w:ind w:left="0"/>
        <w:jc w:val="both"/>
      </w:pPr>
      <w:r>
        <w:rPr>
          <w:rFonts w:ascii="Times New Roman"/>
          <w:b w:val="false"/>
          <w:i w:val="false"/>
          <w:color w:val="000000"/>
          <w:sz w:val="28"/>
        </w:rPr>
        <w:t>
      2) шығындар – 30 638,1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- 533,1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533,1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533,1 мың теңге."</w:t>
      </w:r>
    </w:p>
    <w:bookmarkEnd w:id="19"/>
    <w:bookmarkStart w:name="z26"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27 ақпандағы</w:t>
            </w:r>
            <w:r>
              <w:br/>
            </w:r>
            <w:r>
              <w:rPr>
                <w:rFonts w:ascii="Times New Roman"/>
                <w:b w:val="false"/>
                <w:i w:val="false"/>
                <w:color w:val="000000"/>
                <w:sz w:val="20"/>
              </w:rPr>
              <w:t>№ 21/410-VIII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20/382-VIІI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2025 жылға арналған Жарма ауданы Бірлікшіл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