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442e" w14:textId="c064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43 015,0 мың теңге, соның ішінде:</w:t>
      </w:r>
    </w:p>
    <w:p>
      <w:pPr>
        <w:spacing w:after="0"/>
        <w:ind w:left="0"/>
        <w:jc w:val="both"/>
      </w:pPr>
      <w:r>
        <w:rPr>
          <w:rFonts w:ascii="Times New Roman"/>
          <w:b w:val="false"/>
          <w:i w:val="false"/>
          <w:color w:val="000000"/>
          <w:sz w:val="28"/>
        </w:rPr>
        <w:t>
      салықтық түсімдер – 6 809,0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36 206,0 мың теңге;</w:t>
      </w:r>
    </w:p>
    <w:p>
      <w:pPr>
        <w:spacing w:after="0"/>
        <w:ind w:left="0"/>
        <w:jc w:val="both"/>
      </w:pPr>
      <w:r>
        <w:rPr>
          <w:rFonts w:ascii="Times New Roman"/>
          <w:b w:val="false"/>
          <w:i w:val="false"/>
          <w:color w:val="000000"/>
          <w:sz w:val="28"/>
        </w:rPr>
        <w:t>
      2) шығындар – 43 837,2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- 822,2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822,2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29/496-VIII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Қарасуауылдық округініңбюджетіне субвенция көлемi 28 352,0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29/496-VIII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