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b898" w14:textId="975b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 Қарабас ауылдық округі Қарабас ауылының көшелерін қайта атау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Қарабас ауылдық округі әкімінің 2025 жылғы 3 наурыздағы № 3 шешімі. Күші жойылды - Абай облысы Бесқарағай ауданы Қарабас ауылдық округі әкімінің 2025 жылғы 6 наурыздағы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Бесқарағай ауданы Қарабас ауылдық округі әкімінің 06.03.2025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Заңының 35–бабы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әкімшілік–аумақтық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2023 жылдың 28 наурызындағы Абай облысының облыстық ономастикалық комиссиясының қорытындысына сәйкес және Қарабас ауылдық округі Қарабас ауылының тұрғындарының пікірін ескере отырып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Бесқарағай ауданы Қарабас ауылдық округінің Қарабас ауылындағы: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"Титов" көшесі "Ақбидай" көшесі болып қайта аталсын;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"Больничная" көшесі "Жібек Жолы" көшесі болып қайта аталсын;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"Ворошилов" көшесі "Береке" көшесі болып қайта аталсын;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"Киров" көшесі "Байтақ" көшесі болып қайта аталсын;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 "Ақдала" көшесі болып қайта аталсын;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Увайпова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