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9b8e" w14:textId="d849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2024 жылғы 26 желтоқсандағы № 25/153-VIII "Курчатов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2025 жылғы 21 шілдедегі № 30/193-VIII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2025-2027 жылдарға арналған бюджеті туралы" 2024 жылғы 26 желтоқсандағы 25/153-VIII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4 366 837,2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2 224 874,0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11 911,0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39 852,0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2 090 200,2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4 852 936,5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-94 864,0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94 864,0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-391 235,3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391 235,3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94 864,0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486 099,3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Қала бюджетіне Абай облыстық мәслихатының 2025 жылғы 03 шілдедегі № 29/194-VIII "Абай облыстық мәслихатының 2024 жылғы 13 желтоқсандағы № 23/154-VIII "2025-2027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 бойынша 77,7 пайыз, төлем көзінен салық салынатын табыстардан жеке табыс салығы бойынша 77,9 пайыз мөлшерінде кірістерді бөлу нормативі 2025 жылға орындауға қабылдансын."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қалалық бюджетте облыстық бюджеттен берілетін ағымдағы нысаналы трансферттер 1 358 370,2 мың теңге сомасында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қалалық бюджетте республикалық бюджеттен берілетін ағымдағы нысаналы трансферттер 31 830,0 мың теңге сомасында қарастырылсын.";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30/193-VIII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2 090 200,2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