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b8db" w14:textId="fddb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2024 жылғы 26 қыркүйектегі № 19/131-VIІI "Абай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өзгеріс енгізу туралы</w:t>
      </w:r>
    </w:p>
    <w:p>
      <w:pPr>
        <w:spacing w:after="0"/>
        <w:ind w:left="0"/>
        <w:jc w:val="both"/>
      </w:pPr>
      <w:r>
        <w:rPr>
          <w:rFonts w:ascii="Times New Roman"/>
          <w:b w:val="false"/>
          <w:i w:val="false"/>
          <w:color w:val="000000"/>
          <w:sz w:val="28"/>
        </w:rPr>
        <w:t>Абай облысы мәслихатының 2025 жылғы 8 желтоқсандағы № 32/217-VIII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Абай облысы мәслихатының 2024 жылғы 26 қыркүйектегі № 19/131-VIІI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08 желтоқсан</w:t>
            </w:r>
            <w:r>
              <w:br/>
            </w:r>
            <w:r>
              <w:rPr>
                <w:rFonts w:ascii="Times New Roman"/>
                <w:b w:val="false"/>
                <w:i w:val="false"/>
                <w:color w:val="000000"/>
                <w:sz w:val="20"/>
              </w:rPr>
              <w:t>№ 32/217-VIII шешімімен</w:t>
            </w:r>
            <w:r>
              <w:br/>
            </w:r>
            <w:r>
              <w:rPr>
                <w:rFonts w:ascii="Times New Roman"/>
                <w:b w:val="false"/>
                <w:i w:val="false"/>
                <w:color w:val="000000"/>
                <w:sz w:val="20"/>
              </w:rPr>
              <w:t>бекітілген</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№19/131-VIII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Абай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(жағдайдың)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немесе медициналық бұйымдарды немесе арнайы емдік өнімдерді тағайындау үшін көрсетілімдер (дәрежесі, сатысы, ағымының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(дәрілік нысан) немесе медициналық бұйымдардың немесе арнайы емдік өнімдердің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көлемішеңберіндегі дәрілік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(бастапқы) өкпе гипертензиясы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Мацитентан</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Риоцигуат</w:t>
            </w:r>
          </w:p>
          <w:p>
            <w:pPr>
              <w:spacing w:after="20"/>
              <w:ind w:left="20"/>
              <w:jc w:val="both"/>
            </w:pPr>
            <w:r>
              <w:rPr>
                <w:rFonts w:ascii="Times New Roman"/>
                <w:b w:val="false"/>
                <w:i w:val="false"/>
                <w:color w:val="000000"/>
                <w:sz w:val="20"/>
              </w:rPr>
              <w:t>
Селексипаг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салдарлық гипертензия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Силденафил</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Риоцигуат Бозентан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Ривароксабан</w:t>
            </w:r>
          </w:p>
          <w:p>
            <w:pPr>
              <w:spacing w:after="20"/>
              <w:ind w:left="20"/>
              <w:jc w:val="both"/>
            </w:pPr>
            <w:r>
              <w:rPr>
                <w:rFonts w:ascii="Times New Roman"/>
                <w:b w:val="false"/>
                <w:i w:val="false"/>
                <w:color w:val="000000"/>
                <w:sz w:val="20"/>
              </w:rPr>
              <w:t>
Илопрост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Атиптік гемолитикалық 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тапшылығы. Комплимент жүйесіндегі ақау. Тұқым қуалайтын ангионевротикалық ісік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ингибитор - адам эстеразасы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промиелоциттік лейкемия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Ювенилдік идиопатикалық артрит жүйелік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Адалимумаб</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Тофацитиниб</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Анакинра</w:t>
            </w:r>
          </w:p>
          <w:p>
            <w:pPr>
              <w:spacing w:after="20"/>
              <w:ind w:left="20"/>
              <w:jc w:val="both"/>
            </w:pPr>
            <w:r>
              <w:rPr>
                <w:rFonts w:ascii="Times New Roman"/>
                <w:b w:val="false"/>
                <w:i w:val="false"/>
                <w:color w:val="000000"/>
                <w:sz w:val="20"/>
              </w:rPr>
              <w:t>
Тоцилизумаб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Аутоинфламациялық ауру CANDLE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Бозентан</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Ритуксимаб</w:t>
            </w:r>
          </w:p>
          <w:p>
            <w:pPr>
              <w:spacing w:after="20"/>
              <w:ind w:left="20"/>
              <w:jc w:val="both"/>
            </w:pPr>
            <w:r>
              <w:rPr>
                <w:rFonts w:ascii="Times New Roman"/>
                <w:b w:val="false"/>
                <w:i w:val="false"/>
                <w:color w:val="000000"/>
                <w:sz w:val="20"/>
              </w:rPr>
              <w:t>
Тоцилизумаб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эндокриндік бездің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Тестостерон</w:t>
            </w:r>
          </w:p>
          <w:bookmarkEnd w:id="9"/>
          <w:p>
            <w:pPr>
              <w:spacing w:after="20"/>
              <w:ind w:left="20"/>
              <w:jc w:val="both"/>
            </w:pPr>
            <w:r>
              <w:rPr>
                <w:rFonts w:ascii="Times New Roman"/>
                <w:b w:val="false"/>
                <w:i w:val="false"/>
                <w:color w:val="000000"/>
                <w:sz w:val="20"/>
              </w:rPr>
              <w:t>
Гидрокортизон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Бронхопульмональды дисплазиясы бар және/немесе туа біткен патологиясы бар шала туылған нәрестелер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28 күннен 18 айға дейін, бронхоөкпе дисплазияның ауыр ағымында немесе гемодинамикалық тұрғыдан маңызды жүректің туа біткен кемістіктері болған жағдайда 2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ауыр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Тоцилизумаб</w:t>
            </w:r>
          </w:p>
          <w:bookmarkEnd w:id="1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Драве синдромындағы эпилепсиялық энцефалопатия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көтералмау-шылық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(Топамакс), Вальпрой қышқылы (ДепакинХроно)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20</w:t>
            </w:r>
          </w:p>
          <w:bookmarkEnd w:id="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Тоцилизумаб</w:t>
            </w:r>
          </w:p>
          <w:bookmarkEnd w:id="12"/>
          <w:p>
            <w:pPr>
              <w:spacing w:after="20"/>
              <w:ind w:left="20"/>
              <w:jc w:val="both"/>
            </w:pPr>
            <w:r>
              <w:rPr>
                <w:rFonts w:ascii="Times New Roman"/>
                <w:b w:val="false"/>
                <w:i w:val="false"/>
                <w:color w:val="000000"/>
                <w:sz w:val="20"/>
              </w:rPr>
              <w:t>
Ритуксимаб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Азатиоприн</w:t>
            </w:r>
          </w:p>
          <w:bookmarkEnd w:id="13"/>
          <w:p>
            <w:pPr>
              <w:spacing w:after="20"/>
              <w:ind w:left="20"/>
              <w:jc w:val="both"/>
            </w:pPr>
            <w:r>
              <w:rPr>
                <w:rFonts w:ascii="Times New Roman"/>
                <w:b w:val="false"/>
                <w:i w:val="false"/>
                <w:color w:val="000000"/>
                <w:sz w:val="20"/>
              </w:rPr>
              <w:t>
Метилпреднизолон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 нефротикалық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 кезінде-толық ремиссиядан кейін жаңадан пайда болған протеинурия немесе ішінара ремиссиядан кейін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арнайы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 энергетикалық жеткіліксіздікпен бірге жүретін церебральды сал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10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орташа және ауыр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туа біткен ақаулар (соның ішінде Мобиус синдромы, Бульбар синдромы, мидың ауытқулары және Даун синдромы)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10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орташа және ауыр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