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5e86" w14:textId="0305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2025 жылғы 26 қыркүйектегі № 19/131-VIІI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Абай облысы мәслихатының 2025 жылғы 22 қазандағы № 31/207-VIII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Абай облысы мәслихатының 2025 жылғы 26 қыркүйектегі № 19/131-VIІI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22 қазандағы</w:t>
            </w:r>
            <w:r>
              <w:br/>
            </w:r>
            <w:r>
              <w:rPr>
                <w:rFonts w:ascii="Times New Roman"/>
                <w:b w:val="false"/>
                <w:i w:val="false"/>
                <w:color w:val="000000"/>
                <w:sz w:val="20"/>
              </w:rPr>
              <w:t>№ 31/207-VIII шешімімен</w:t>
            </w:r>
            <w:r>
              <w:br/>
            </w:r>
            <w:r>
              <w:rPr>
                <w:rFonts w:ascii="Times New Roman"/>
                <w:b w:val="false"/>
                <w:i w:val="false"/>
                <w:color w:val="000000"/>
                <w:sz w:val="20"/>
              </w:rPr>
              <w:t>бекітілген</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№19/131-VIII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(жағдайдың)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немесе медициналық бұйымдарды немесе арнайы емдік өнімдерді тағайындау үшін көрсетілімдер (дәрежесі, сатысы, ағымының ауырлығы)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немесе медициналық бұйымдардың немесе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1. Тегін медициналық көмектің кепілдік берілген көлемі</w:t>
            </w:r>
          </w:p>
          <w:bookmarkEnd w:id="5"/>
          <w:p>
            <w:pPr>
              <w:spacing w:after="20"/>
              <w:ind w:left="20"/>
              <w:jc w:val="both"/>
            </w:pPr>
            <w:r>
              <w:rPr>
                <w:rFonts w:ascii="Times New Roman"/>
                <w:b w:val="false"/>
                <w:i w:val="false"/>
                <w:color w:val="000000"/>
                <w:sz w:val="20"/>
              </w:rPr>
              <w:t>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(бастапқы)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Мацитентан</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Риоцигуат</w:t>
            </w:r>
          </w:p>
          <w:p>
            <w:pPr>
              <w:spacing w:after="20"/>
              <w:ind w:left="20"/>
              <w:jc w:val="both"/>
            </w:pPr>
            <w:r>
              <w:rPr>
                <w:rFonts w:ascii="Times New Roman"/>
                <w:b w:val="false"/>
                <w:i w:val="false"/>
                <w:color w:val="000000"/>
                <w:sz w:val="20"/>
              </w:rPr>
              <w:t>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қызыл жегі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Белимумаб</w:t>
            </w:r>
          </w:p>
          <w:bookmarkEnd w:id="7"/>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 Созылмалы тромбоэмболиялық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Силденафил</w:t>
            </w:r>
          </w:p>
          <w:bookmarkEnd w:id="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ауруы, Эйзенменгер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Риоцигуат</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Бозентан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Ривароксабан</w:t>
            </w:r>
          </w:p>
          <w:p>
            <w:pPr>
              <w:spacing w:after="20"/>
              <w:ind w:left="20"/>
              <w:jc w:val="both"/>
            </w:pPr>
            <w:r>
              <w:rPr>
                <w:rFonts w:ascii="Times New Roman"/>
                <w:b w:val="false"/>
                <w:i w:val="false"/>
                <w:color w:val="000000"/>
                <w:sz w:val="20"/>
              </w:rPr>
              <w:t>
Илопрост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промиелоциттік лейкемия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Адалимумаб</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Тофацитиниб</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Анакинра</w:t>
            </w:r>
          </w:p>
          <w:p>
            <w:pPr>
              <w:spacing w:after="20"/>
              <w:ind w:left="20"/>
              <w:jc w:val="both"/>
            </w:pPr>
            <w:r>
              <w:rPr>
                <w:rFonts w:ascii="Times New Roman"/>
                <w:b w:val="false"/>
                <w:i w:val="false"/>
                <w:color w:val="000000"/>
                <w:sz w:val="20"/>
              </w:rPr>
              <w:t>
Тоцилизумаб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Аутоинфламациялық ауру CANDLE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Бозентан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Ритуксимаб</w:t>
            </w:r>
          </w:p>
          <w:p>
            <w:pPr>
              <w:spacing w:after="20"/>
              <w:ind w:left="20"/>
              <w:jc w:val="both"/>
            </w:pPr>
            <w:r>
              <w:rPr>
                <w:rFonts w:ascii="Times New Roman"/>
                <w:b w:val="false"/>
                <w:i w:val="false"/>
                <w:color w:val="000000"/>
                <w:sz w:val="20"/>
              </w:rPr>
              <w:t>
Тоцилизумаб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эндокриндік бездің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Тестостерон</w:t>
            </w:r>
          </w:p>
          <w:bookmarkEnd w:id="12"/>
          <w:p>
            <w:pPr>
              <w:spacing w:after="20"/>
              <w:ind w:left="20"/>
              <w:jc w:val="both"/>
            </w:pPr>
            <w:r>
              <w:rPr>
                <w:rFonts w:ascii="Times New Roman"/>
                <w:b w:val="false"/>
                <w:i w:val="false"/>
                <w:color w:val="000000"/>
                <w:sz w:val="20"/>
              </w:rPr>
              <w:t>
Гидрокортизон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Бронхопульмональды дисплазиясы бар және/немесе туа біткен патологиясы бар шала туылған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28 күннен 18 айға дейін, бронхоөкпе дисплазияның ауыр ағымында немесе гемодинамикалық тұрғыдан маңызды жүректің туа біткен кемістіктері болған жағдайда 2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ауыр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Тоцилизумаб</w:t>
            </w:r>
          </w:p>
          <w:bookmarkEnd w:id="1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Драве синдромындағы эпилепсиялық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(Топамакс), Вальпрой қышқылы (ДепакинХроно)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20</w:t>
            </w:r>
          </w:p>
          <w:bookmarkEnd w:id="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Тоцилизумаб</w:t>
            </w:r>
          </w:p>
          <w:bookmarkEnd w:id="15"/>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Азатиоприн</w:t>
            </w:r>
          </w:p>
          <w:bookmarkEnd w:id="16"/>
          <w:p>
            <w:pPr>
              <w:spacing w:after="20"/>
              <w:ind w:left="20"/>
              <w:jc w:val="both"/>
            </w:pPr>
            <w:r>
              <w:rPr>
                <w:rFonts w:ascii="Times New Roman"/>
                <w:b w:val="false"/>
                <w:i w:val="false"/>
                <w:color w:val="000000"/>
                <w:sz w:val="20"/>
              </w:rPr>
              <w:t>
Метилпреднизолон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 нефротикалық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 кезінде-толық ремиссиядан кейін жаңадан пайда болған протеинурия немесе ішінара ремиссиядан кейін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энергетикалық жеткіліксіздікпен бірге жүретін церебральды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10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орташа және ауыр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емдік өнімдер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туа біткен ақаулар (соның ішінде Мобиус синдромы, Бульбар синдромы, мидың ауытқулары және Даун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10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орташа және ауыр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емдік өнімдер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