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45b3" w14:textId="9d54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қорғау, өсімін молайту және пайдалану саласындағы нормалар мен нормативтерді бекіту туралы" Қазақстан Республикасы Ауыл шаруашылығы министрінің 2024 жылғы 24 шілдедегі № 257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8 шiлдедегi № 216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"Балық ресурстарын және басқа да су жануарларын қорғау, өсімін молайту және пайдалану саласындағы нормалар мен нормативтерді бекіту туралы" Қазақстан Республикасы Ауыл шаруашылығы министрінің 2024 жылғы 24 шілдедегі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балық ресурстарын және басқа да су жануарларын қорғау, өсімін молайту және пайдалану саласындағы </w:t>
      </w:r>
      <w:r>
        <w:rPr>
          <w:rFonts w:ascii="Times New Roman"/>
          <w:b w:val="false"/>
          <w:i w:val="false"/>
          <w:color w:val="000000"/>
          <w:sz w:val="28"/>
        </w:rPr>
        <w:t>нормалар мен нормативтер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енгізу үшін осы бұйрықтың электрондық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w:t>
      </w:r>
    </w:p>
    <w:p>
      <w:pPr>
        <w:spacing w:after="0"/>
        <w:ind w:left="0"/>
        <w:jc w:val="both"/>
      </w:pPr>
      <w:r>
        <w:rPr>
          <w:rFonts w:ascii="Times New Roman"/>
          <w:b w:val="false"/>
          <w:i w:val="false"/>
          <w:color w:val="000000"/>
          <w:sz w:val="28"/>
        </w:rPr>
        <w:t>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8 шілдедегі</w:t>
            </w:r>
            <w:r>
              <w:br/>
            </w:r>
            <w:r>
              <w:rPr>
                <w:rFonts w:ascii="Times New Roman"/>
                <w:b w:val="false"/>
                <w:i w:val="false"/>
                <w:color w:val="000000"/>
                <w:sz w:val="20"/>
              </w:rPr>
              <w:t>№ 216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2024 жылғы 24 шілдедегі</w:t>
            </w:r>
            <w:r>
              <w:br/>
            </w:r>
            <w:r>
              <w:rPr>
                <w:rFonts w:ascii="Times New Roman"/>
                <w:b w:val="false"/>
                <w:i w:val="false"/>
                <w:color w:val="000000"/>
                <w:sz w:val="20"/>
              </w:rPr>
              <w:t>№ 257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Балық ресурстарын және басқа да су жануарларын қорғау, өсімін молайту және пайдалану саласындағы нормалар мен нормативтер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символы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қорғау, өсімін молайту және пайдалану саласындағы нормалар мен нормативтер (жерүсті су объектілеріндегі немесе олардың балық шаруашылығында маңызы бар бөліктеріндегі судың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сынып*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сынып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xml:space="preserve">
Бұқтырма, </w:t>
            </w:r>
          </w:p>
          <w:p>
            <w:pPr>
              <w:spacing w:after="20"/>
              <w:ind w:left="20"/>
              <w:jc w:val="both"/>
            </w:pPr>
            <w:r>
              <w:rPr>
                <w:rFonts w:ascii="Times New Roman"/>
                <w:b w:val="false"/>
                <w:i w:val="false"/>
                <w:color w:val="000000"/>
                <w:sz w:val="20"/>
              </w:rPr>
              <w:t xml:space="preserve">
Өскемен, </w:t>
            </w:r>
          </w:p>
          <w:p>
            <w:pPr>
              <w:spacing w:after="20"/>
              <w:ind w:left="20"/>
              <w:jc w:val="both"/>
            </w:pPr>
            <w:r>
              <w:rPr>
                <w:rFonts w:ascii="Times New Roman"/>
                <w:b w:val="false"/>
                <w:i w:val="false"/>
                <w:color w:val="000000"/>
                <w:sz w:val="20"/>
              </w:rPr>
              <w:t>
Шүлбі су қоймалары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Қиғаш,</w:t>
            </w:r>
          </w:p>
          <w:p>
            <w:pPr>
              <w:spacing w:after="20"/>
              <w:ind w:left="20"/>
              <w:jc w:val="both"/>
            </w:pPr>
            <w:r>
              <w:rPr>
                <w:rFonts w:ascii="Times New Roman"/>
                <w:b w:val="false"/>
                <w:i w:val="false"/>
                <w:color w:val="000000"/>
                <w:sz w:val="20"/>
              </w:rPr>
              <w:t>
Есіл, Іле, Тобыл,</w:t>
            </w:r>
          </w:p>
          <w:p>
            <w:pPr>
              <w:spacing w:after="20"/>
              <w:ind w:left="20"/>
              <w:jc w:val="both"/>
            </w:pPr>
            <w:r>
              <w:rPr>
                <w:rFonts w:ascii="Times New Roman"/>
                <w:b w:val="false"/>
                <w:i w:val="false"/>
                <w:color w:val="000000"/>
                <w:sz w:val="20"/>
              </w:rPr>
              <w:t>
Сырдария, Нұра,</w:t>
            </w:r>
          </w:p>
          <w:p>
            <w:pPr>
              <w:spacing w:after="20"/>
              <w:ind w:left="20"/>
              <w:jc w:val="both"/>
            </w:pPr>
            <w:r>
              <w:rPr>
                <w:rFonts w:ascii="Times New Roman"/>
                <w:b w:val="false"/>
                <w:i w:val="false"/>
                <w:color w:val="000000"/>
                <w:sz w:val="20"/>
              </w:rPr>
              <w:t>
Сілеті өзендері,</w:t>
            </w:r>
          </w:p>
          <w:p>
            <w:pPr>
              <w:spacing w:after="20"/>
              <w:ind w:left="20"/>
              <w:jc w:val="both"/>
            </w:pPr>
            <w:r>
              <w:rPr>
                <w:rFonts w:ascii="Times New Roman"/>
                <w:b w:val="false"/>
                <w:i w:val="false"/>
                <w:color w:val="000000"/>
                <w:sz w:val="20"/>
              </w:rPr>
              <w:t>
Шардара,</w:t>
            </w:r>
          </w:p>
          <w:p>
            <w:pPr>
              <w:spacing w:after="20"/>
              <w:ind w:left="20"/>
              <w:jc w:val="both"/>
            </w:pPr>
            <w:r>
              <w:rPr>
                <w:rFonts w:ascii="Times New Roman"/>
                <w:b w:val="false"/>
                <w:i w:val="false"/>
                <w:color w:val="000000"/>
                <w:sz w:val="20"/>
              </w:rPr>
              <w:t>
Қапшағай су қоймалары,</w:t>
            </w:r>
          </w:p>
          <w:p>
            <w:pPr>
              <w:spacing w:after="20"/>
              <w:ind w:left="20"/>
              <w:jc w:val="both"/>
            </w:pPr>
            <w:r>
              <w:rPr>
                <w:rFonts w:ascii="Times New Roman"/>
                <w:b w:val="false"/>
                <w:i w:val="false"/>
                <w:color w:val="000000"/>
                <w:sz w:val="20"/>
              </w:rPr>
              <w:t>
Қаныш Сәтпаев</w:t>
            </w:r>
          </w:p>
          <w:p>
            <w:pPr>
              <w:spacing w:after="20"/>
              <w:ind w:left="20"/>
              <w:jc w:val="both"/>
            </w:pPr>
            <w:r>
              <w:rPr>
                <w:rFonts w:ascii="Times New Roman"/>
                <w:b w:val="false"/>
                <w:i w:val="false"/>
                <w:color w:val="000000"/>
                <w:sz w:val="20"/>
              </w:rPr>
              <w:t>
атындағы канал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Кислородтық режим шарттары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20-28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5-8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қанығуы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 %</w:t>
            </w:r>
          </w:p>
          <w:p>
            <w:pPr>
              <w:spacing w:after="20"/>
              <w:ind w:left="20"/>
              <w:jc w:val="both"/>
            </w:pPr>
            <w:r>
              <w:rPr>
                <w:rFonts w:ascii="Times New Roman"/>
                <w:b w:val="false"/>
                <w:i w:val="false"/>
                <w:color w:val="000000"/>
                <w:sz w:val="20"/>
              </w:rPr>
              <w:t>
О2/л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(5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 (перманганат)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(перм)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химиялық тұтыну (бихромат)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(бихр)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минералдылығы;</w:t>
            </w:r>
          </w:p>
          <w:p>
            <w:pPr>
              <w:spacing w:after="20"/>
              <w:ind w:left="20"/>
              <w:jc w:val="both"/>
            </w:pPr>
            <w:r>
              <w:rPr>
                <w:rFonts w:ascii="Times New Roman"/>
                <w:b w:val="false"/>
                <w:i w:val="false"/>
                <w:color w:val="000000"/>
                <w:sz w:val="20"/>
              </w:rPr>
              <w:t>
Иондар сомасы;</w:t>
            </w:r>
          </w:p>
          <w:p>
            <w:pPr>
              <w:spacing w:after="20"/>
              <w:ind w:left="20"/>
              <w:jc w:val="both"/>
            </w:pPr>
            <w:r>
              <w:rPr>
                <w:rFonts w:ascii="Times New Roman"/>
                <w:b w:val="false"/>
                <w:i w:val="false"/>
                <w:color w:val="000000"/>
                <w:sz w:val="20"/>
              </w:rPr>
              <w:t>
Құрғақ қалдық;</w:t>
            </w:r>
          </w:p>
          <w:p>
            <w:pPr>
              <w:spacing w:after="20"/>
              <w:ind w:left="20"/>
              <w:jc w:val="both"/>
            </w:pPr>
            <w:r>
              <w:rPr>
                <w:rFonts w:ascii="Times New Roman"/>
                <w:b w:val="false"/>
                <w:i w:val="false"/>
                <w:color w:val="000000"/>
                <w:sz w:val="20"/>
              </w:rPr>
              <w:t>
Тұздылығы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Минобщ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потенциалы2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40,0-&lt;50,0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50,0-&lt;100,0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Кермектілік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 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NH3·nH2O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бойынша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 хлорлы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кадмий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қорғасын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сынап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никель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мырыш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етірілген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кобальт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молибден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хром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(ұшпа)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және эмульсияланған жағдайында мұнай және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 БАЗ, АСБАЗ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және олардың метаболиттері (бенз(а)пирен бойынша)4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мышьяк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ерітілген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гамма-ГХЦГ (линдан)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 Гексахлорциклді-гексан5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(изомерлер қосындысы)6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Гидробиологиялық параметрлері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 зоопланктон, перифитон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Палтле және Букка бойынша сапроб индексі (Сладечек модификациясы)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 жалпы санының су түбіндегі организмдердің жалпы санына қатынасы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Вудивисс бойынша биотикалық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параметрлер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Лактозалық оң ішек таяқшалары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Бляшка-құраушы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қоздырғыштар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кл/см3, кл/мл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Сапрофитті бактериялар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кл/см3</w:t>
            </w:r>
          </w:p>
          <w:p>
            <w:pPr>
              <w:spacing w:after="20"/>
              <w:ind w:left="20"/>
              <w:jc w:val="both"/>
            </w:pPr>
            <w:r>
              <w:rPr>
                <w:rFonts w:ascii="Times New Roman"/>
                <w:b w:val="false"/>
                <w:i w:val="false"/>
                <w:color w:val="000000"/>
                <w:sz w:val="20"/>
              </w:rPr>
              <w:t>
кл/мл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бактериялар санының сапрофитті бактериялар санына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103-102</w:t>
            </w:r>
          </w:p>
        </w:tc>
      </w:tr>
    </w:tbl>
    <w:bookmarkStart w:name="z14"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су пайдалану сыныптарының сипаттамасы "Су объектілеріндегі су сапасын жіктеудің бірыңғай жүйесін бекіту туралы" Қазақстан Республикасы Ауыл шаруашылығы министрлігі Су ресурстары комитеті төрағасының 2016 жылғы 9 қарашадағы № 151 бұйрығына (Нормативтік құқықтық актілерді мемлекеттік тіркеу тізілімінде № 14513 болып тіркелген) сәйкес айқындалады;</w:t>
      </w:r>
    </w:p>
    <w:p>
      <w:pPr>
        <w:spacing w:after="0"/>
        <w:ind w:left="0"/>
        <w:jc w:val="both"/>
      </w:pPr>
      <w:r>
        <w:rPr>
          <w:rFonts w:ascii="Times New Roman"/>
          <w:b w:val="false"/>
          <w:i w:val="false"/>
          <w:color w:val="000000"/>
          <w:sz w:val="28"/>
        </w:rPr>
        <w:t>
      ** Астана қаласы шегіндегі жерүсті суларының көрсеткіштері үшін.</w:t>
      </w:r>
    </w:p>
    <w:bookmarkStart w:name="z15" w:id="11"/>
    <w:p>
      <w:pPr>
        <w:spacing w:after="0"/>
        <w:ind w:left="0"/>
        <w:jc w:val="both"/>
      </w:pPr>
      <w:r>
        <w:rPr>
          <w:rFonts w:ascii="Times New Roman"/>
          <w:b w:val="false"/>
          <w:i w:val="false"/>
          <w:color w:val="000000"/>
          <w:sz w:val="28"/>
        </w:rPr>
        <w:t>
      Негізгі қысқартулар: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насыщения О2/л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оттегінің қанығу пайызы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микро Сименс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заттың электрондарды қосу қабілетінің өлшемі, милливольт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кальций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миллиграмм-литрге эквивалент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жалпы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литрге жалпы миллиграмм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кл/см3,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сантиметрге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Анионды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ароматты көмірсутектер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