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545b3" w14:textId="9d545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"Балық ресурстарын және басқа да су жануарларын қорғау, өсімін молайту және пайдалану саласындағы нормалар мен нормативтерді бекіту туралы" Қазақстан Республикасы Ауыл шаруашылығы министрінің 2024 жылғы 24 шілдедегі № 257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2025 жылғы 8 шiлдедегi № 216 бұйрығы</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"Балық ресурстарын және басқа да су жануарларын қорғау, өсімін молайту және пайдалану саласындағы нормалар мен нормативтерді бекіту туралы" Қазақстан Республикасы Ауыл шаруашылығы министрінің 2024 жылғы 24 шілдедегі № 257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34804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 </w:t>
      </w:r>
    </w:p>
    <w:bookmarkStart w:name="z4" w:id="2"/>
    <w:p>
      <w:pPr>
        <w:spacing w:after="0"/>
        <w:ind w:left="0"/>
        <w:jc w:val="both"/>
      </w:pPr>
      <w:r>
        <w:rPr>
          <w:rFonts w:ascii="Times New Roman"/>
          <w:b w:val="false"/>
          <w:i w:val="false"/>
          <w:color w:val="000000"/>
          <w:sz w:val="28"/>
        </w:rPr>
        <w:t xml:space="preserve">
      "Жануарлар дүниесін қорғау, өсімін молайту және пайдалану туралы" Қазақстан Республикасы Заңының 9-1-бабының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БҰЙЫРАМЫН:";</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балық ресурстарын және басқа да су жануарларын қорғау, өсімін молайту және пайдалану саласындағы </w:t>
      </w:r>
      <w:r>
        <w:rPr>
          <w:rFonts w:ascii="Times New Roman"/>
          <w:b w:val="false"/>
          <w:i w:val="false"/>
          <w:color w:val="000000"/>
          <w:sz w:val="28"/>
        </w:rPr>
        <w:t>нормалар мен нормативтер</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2. Қазақстан Республикасы Ауыл шаруашылығы министрлігінің Балық шаруашылығы комитеті заңнамада белгіленген тәртіппен:</w:t>
      </w:r>
    </w:p>
    <w:bookmarkEnd w:id="4"/>
    <w:bookmarkStart w:name="z7" w:id="5"/>
    <w:p>
      <w:pPr>
        <w:spacing w:after="0"/>
        <w:ind w:left="0"/>
        <w:jc w:val="both"/>
      </w:pPr>
      <w:r>
        <w:rPr>
          <w:rFonts w:ascii="Times New Roman"/>
          <w:b w:val="false"/>
          <w:i w:val="false"/>
          <w:color w:val="000000"/>
          <w:sz w:val="28"/>
        </w:rPr>
        <w:t>
      1) Қазақстан Республикасы нормативтік құқықтық актілерінің Эталондық бақылау банкіне енгізу үшін осы бұйрықтың электрондық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5"/>
    <w:bookmarkStart w:name="z8" w:id="6"/>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интернет-ресурсында орналастырылуын қамтамасыз етсін.</w:t>
      </w:r>
    </w:p>
    <w:bookmarkEnd w:id="6"/>
    <w:bookmarkStart w:name="z9"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7"/>
    <w:bookmarkStart w:name="z10" w:id="8"/>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Су ресурстары</w:t>
      </w:r>
    </w:p>
    <w:p>
      <w:pPr>
        <w:spacing w:after="0"/>
        <w:ind w:left="0"/>
        <w:jc w:val="both"/>
      </w:pPr>
      <w:r>
        <w:rPr>
          <w:rFonts w:ascii="Times New Roman"/>
          <w:b w:val="false"/>
          <w:i w:val="false"/>
          <w:color w:val="000000"/>
          <w:sz w:val="28"/>
        </w:rPr>
        <w:t>
      және ирригация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Экология және табиғи</w:t>
      </w:r>
    </w:p>
    <w:p>
      <w:pPr>
        <w:spacing w:after="0"/>
        <w:ind w:left="0"/>
        <w:jc w:val="both"/>
      </w:pPr>
      <w:r>
        <w:rPr>
          <w:rFonts w:ascii="Times New Roman"/>
          <w:b w:val="false"/>
          <w:i w:val="false"/>
          <w:color w:val="000000"/>
          <w:sz w:val="28"/>
        </w:rPr>
        <w:t>
      ресурстар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2025 жылғы 8 шілдедегі</w:t>
            </w:r>
            <w:r>
              <w:br/>
            </w:r>
            <w:r>
              <w:rPr>
                <w:rFonts w:ascii="Times New Roman"/>
                <w:b w:val="false"/>
                <w:i w:val="false"/>
                <w:color w:val="000000"/>
                <w:sz w:val="20"/>
              </w:rPr>
              <w:t>№ 216 бұйрығына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2024 жылғы 24 шілдедегі</w:t>
            </w:r>
            <w:r>
              <w:br/>
            </w:r>
            <w:r>
              <w:rPr>
                <w:rFonts w:ascii="Times New Roman"/>
                <w:b w:val="false"/>
                <w:i w:val="false"/>
                <w:color w:val="000000"/>
                <w:sz w:val="20"/>
              </w:rPr>
              <w:t>№ 257 бұйрығымен</w:t>
            </w:r>
            <w:r>
              <w:br/>
            </w:r>
            <w:r>
              <w:rPr>
                <w:rFonts w:ascii="Times New Roman"/>
                <w:b w:val="false"/>
                <w:i w:val="false"/>
                <w:color w:val="000000"/>
                <w:sz w:val="20"/>
              </w:rPr>
              <w:t>бекітілген</w:t>
            </w:r>
          </w:p>
        </w:tc>
      </w:tr>
    </w:tbl>
    <w:bookmarkStart w:name="z13" w:id="9"/>
    <w:p>
      <w:pPr>
        <w:spacing w:after="0"/>
        <w:ind w:left="0"/>
        <w:jc w:val="left"/>
      </w:pPr>
      <w:r>
        <w:rPr>
          <w:rFonts w:ascii="Times New Roman"/>
          <w:b/>
          <w:i w:val="false"/>
          <w:color w:val="000000"/>
        </w:rPr>
        <w:t xml:space="preserve"> Балық ресурстарын және басқа да су жануарларын қорғау, өсімін молайту және пайдалану саласындағы нормалар мен нормативтер</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Нормаланатын көрсеткіштер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символы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ресурстарын және басқа да су жануарларын қорғау, өсімін молайту және пайдалану саласындағы нормалар мен нормативтер (жерүсті су объектілеріндегі немесе олардың балық шаруашылығында маңызы бар бөліктеріндегі судың сапасы)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сынып*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сынып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республикалық маңызы бар балық шаруашылығы су айдындары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p>
            <w:pPr>
              <w:spacing w:after="20"/>
              <w:ind w:left="20"/>
              <w:jc w:val="both"/>
            </w:pPr>
            <w:r>
              <w:rPr>
                <w:rFonts w:ascii="Times New Roman"/>
                <w:b w:val="false"/>
                <w:i w:val="false"/>
                <w:color w:val="000000"/>
                <w:sz w:val="20"/>
              </w:rPr>
              <w:t xml:space="preserve">
Бұқтырма, </w:t>
            </w:r>
          </w:p>
          <w:p>
            <w:pPr>
              <w:spacing w:after="20"/>
              <w:ind w:left="20"/>
              <w:jc w:val="both"/>
            </w:pPr>
            <w:r>
              <w:rPr>
                <w:rFonts w:ascii="Times New Roman"/>
                <w:b w:val="false"/>
                <w:i w:val="false"/>
                <w:color w:val="000000"/>
                <w:sz w:val="20"/>
              </w:rPr>
              <w:t xml:space="preserve">
Өскемен, </w:t>
            </w:r>
          </w:p>
          <w:p>
            <w:pPr>
              <w:spacing w:after="20"/>
              <w:ind w:left="20"/>
              <w:jc w:val="both"/>
            </w:pPr>
            <w:r>
              <w:rPr>
                <w:rFonts w:ascii="Times New Roman"/>
                <w:b w:val="false"/>
                <w:i w:val="false"/>
                <w:color w:val="000000"/>
                <w:sz w:val="20"/>
              </w:rPr>
              <w:t>
Шүлбі су қоймалары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Қиғаш,</w:t>
            </w:r>
          </w:p>
          <w:p>
            <w:pPr>
              <w:spacing w:after="20"/>
              <w:ind w:left="20"/>
              <w:jc w:val="both"/>
            </w:pPr>
            <w:r>
              <w:rPr>
                <w:rFonts w:ascii="Times New Roman"/>
                <w:b w:val="false"/>
                <w:i w:val="false"/>
                <w:color w:val="000000"/>
                <w:sz w:val="20"/>
              </w:rPr>
              <w:t>
Есіл, Іле, Тобыл,</w:t>
            </w:r>
          </w:p>
          <w:p>
            <w:pPr>
              <w:spacing w:after="20"/>
              <w:ind w:left="20"/>
              <w:jc w:val="both"/>
            </w:pPr>
            <w:r>
              <w:rPr>
                <w:rFonts w:ascii="Times New Roman"/>
                <w:b w:val="false"/>
                <w:i w:val="false"/>
                <w:color w:val="000000"/>
                <w:sz w:val="20"/>
              </w:rPr>
              <w:t>
Сырдария, Нұра,</w:t>
            </w:r>
          </w:p>
          <w:p>
            <w:pPr>
              <w:spacing w:after="20"/>
              <w:ind w:left="20"/>
              <w:jc w:val="both"/>
            </w:pPr>
            <w:r>
              <w:rPr>
                <w:rFonts w:ascii="Times New Roman"/>
                <w:b w:val="false"/>
                <w:i w:val="false"/>
                <w:color w:val="000000"/>
                <w:sz w:val="20"/>
              </w:rPr>
              <w:t>
Сілеті өзендері,</w:t>
            </w:r>
          </w:p>
          <w:p>
            <w:pPr>
              <w:spacing w:after="20"/>
              <w:ind w:left="20"/>
              <w:jc w:val="both"/>
            </w:pPr>
            <w:r>
              <w:rPr>
                <w:rFonts w:ascii="Times New Roman"/>
                <w:b w:val="false"/>
                <w:i w:val="false"/>
                <w:color w:val="000000"/>
                <w:sz w:val="20"/>
              </w:rPr>
              <w:t>
Шардара,</w:t>
            </w:r>
          </w:p>
          <w:p>
            <w:pPr>
              <w:spacing w:after="20"/>
              <w:ind w:left="20"/>
              <w:jc w:val="both"/>
            </w:pPr>
            <w:r>
              <w:rPr>
                <w:rFonts w:ascii="Times New Roman"/>
                <w:b w:val="false"/>
                <w:i w:val="false"/>
                <w:color w:val="000000"/>
                <w:sz w:val="20"/>
              </w:rPr>
              <w:t>
Қапшағай су қоймалары,</w:t>
            </w:r>
          </w:p>
          <w:p>
            <w:pPr>
              <w:spacing w:after="20"/>
              <w:ind w:left="20"/>
              <w:jc w:val="both"/>
            </w:pPr>
            <w:r>
              <w:rPr>
                <w:rFonts w:ascii="Times New Roman"/>
                <w:b w:val="false"/>
                <w:i w:val="false"/>
                <w:color w:val="000000"/>
                <w:sz w:val="20"/>
              </w:rPr>
              <w:t>
Қаныш Сәтпаев</w:t>
            </w:r>
          </w:p>
          <w:p>
            <w:pPr>
              <w:spacing w:after="20"/>
              <w:ind w:left="20"/>
              <w:jc w:val="both"/>
            </w:pPr>
            <w:r>
              <w:rPr>
                <w:rFonts w:ascii="Times New Roman"/>
                <w:b w:val="false"/>
                <w:i w:val="false"/>
                <w:color w:val="000000"/>
                <w:sz w:val="20"/>
              </w:rPr>
              <w:t>
атындағы канал</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Кислородтық режим шарттары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Жазда 20-28 °С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 5-8 °С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Еріген оттегі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 О2/л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Оттегімен қанығуы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қанықтыру %</w:t>
            </w:r>
          </w:p>
          <w:p>
            <w:pPr>
              <w:spacing w:after="20"/>
              <w:ind w:left="20"/>
              <w:jc w:val="both"/>
            </w:pPr>
            <w:r>
              <w:rPr>
                <w:rFonts w:ascii="Times New Roman"/>
                <w:b w:val="false"/>
                <w:i w:val="false"/>
                <w:color w:val="000000"/>
                <w:sz w:val="20"/>
              </w:rPr>
              <w:t>
О2/л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Оттегіні биохимиялық тұтыну (5 тәулік)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БПК5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 О2/л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Оттегіні биохимиялық тұтыну (толық)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БПКтолық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 О2/л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Оттегіні химиялық тұтыну (перманганат)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ХПК (перм)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 О2/л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Оттегін химиялық тұтыну (бихромат)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ХПК (бихр)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 О2/л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Органолептикалық параметрлері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Қалқыма заттар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Сфон.+ 0,75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Сфон.+ 1,0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минералдылығы;</w:t>
            </w:r>
          </w:p>
          <w:p>
            <w:pPr>
              <w:spacing w:after="20"/>
              <w:ind w:left="20"/>
              <w:jc w:val="both"/>
            </w:pPr>
            <w:r>
              <w:rPr>
                <w:rFonts w:ascii="Times New Roman"/>
                <w:b w:val="false"/>
                <w:i w:val="false"/>
                <w:color w:val="000000"/>
                <w:sz w:val="20"/>
              </w:rPr>
              <w:t>
Иондар сомасы;</w:t>
            </w:r>
          </w:p>
          <w:p>
            <w:pPr>
              <w:spacing w:after="20"/>
              <w:ind w:left="20"/>
              <w:jc w:val="both"/>
            </w:pPr>
            <w:r>
              <w:rPr>
                <w:rFonts w:ascii="Times New Roman"/>
                <w:b w:val="false"/>
                <w:i w:val="false"/>
                <w:color w:val="000000"/>
                <w:sz w:val="20"/>
              </w:rPr>
              <w:t>
Құрғақ қалдық;</w:t>
            </w:r>
          </w:p>
          <w:p>
            <w:pPr>
              <w:spacing w:after="20"/>
              <w:ind w:left="20"/>
              <w:jc w:val="both"/>
            </w:pPr>
            <w:r>
              <w:rPr>
                <w:rFonts w:ascii="Times New Roman"/>
                <w:b w:val="false"/>
                <w:i w:val="false"/>
                <w:color w:val="000000"/>
                <w:sz w:val="20"/>
              </w:rPr>
              <w:t>
Тұздылығы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Минобщ</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электр өткізгіштігі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мкСм/см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Тотығу-тотықсыздану потенциалы2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ОВП1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Eh, мВ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Сілтілік2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HCO3-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 CaCO3/л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40,0-&lt;50,0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50,0-&lt;100,0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Кермектілік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мг-экв/л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қостотығы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Биогенді заттар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 N/л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 ион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 ион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ион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NH3·nH2O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бойынша аммиак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фосфор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Ржалпы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 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үш хлорлы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темір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Feерт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кадмий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Cdжалпы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 ерітілген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Cdерт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қорғасын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Pbжалпы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ерітілген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Pbерт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сынап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Hgжалпы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ерітілген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Hgерт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никель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Niжалпы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ерітілген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Niерт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мыс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Cuжалпы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ерітілген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Cuерт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мырыш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Znжалпы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етірілген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Znерт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кобальт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Coжалпы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 ерітілген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Coерт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молибден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Можалпы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ерітілген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Моерт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хром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Сrжалпы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Сr3+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Сr6+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Фенолдар (ұшпа)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Ерітілген және эмульсияланған жағдайында мұнай және мұнай өнімдері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СБАЗ, БАЗ, АСБАЗ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Фторидтер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сутегі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 және олардың метаболиттері (бенз(а)пирен бойынша)4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заттар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Цианидтер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мышьяк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 ерітілген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Роданидтер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гамма-ГХЦГ (линдан)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 Гексахлорциклді-гексан5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ДДТ (изомерлер қосындысы)6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0,000065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Гидробиологиялық параметрлері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Фитопланктон, зоопланктон, перифитон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Палтле және Букка бойынша сапроб индексі (Сладечек модификациясы)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Зообентос бойынша: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олигохет жалпы санының су түбіндегі организмдердің жалпы санына қатынасы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Вудивисс бойынша биотикалық 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параметрлер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Лактозалық оң ішек таяқшалары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Коли-фагтар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Бляшка-құраушы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қоздырғыштар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Бактериялардың жалпы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кл/см3, кл/мл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Сапрофитті бактериялар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кл/см3</w:t>
            </w:r>
          </w:p>
          <w:p>
            <w:pPr>
              <w:spacing w:after="20"/>
              <w:ind w:left="20"/>
              <w:jc w:val="both"/>
            </w:pPr>
            <w:r>
              <w:rPr>
                <w:rFonts w:ascii="Times New Roman"/>
                <w:b w:val="false"/>
                <w:i w:val="false"/>
                <w:color w:val="000000"/>
                <w:sz w:val="20"/>
              </w:rPr>
              <w:t>
кл/мл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бактериялар санының сапрофитті бактериялар санына қатынасы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103-102</w:t>
            </w:r>
          </w:p>
        </w:tc>
      </w:tr>
    </w:tbl>
    <w:bookmarkStart w:name="z14" w:id="10"/>
    <w:p>
      <w:pPr>
        <w:spacing w:after="0"/>
        <w:ind w:left="0"/>
        <w:jc w:val="both"/>
      </w:pPr>
      <w:r>
        <w:rPr>
          <w:rFonts w:ascii="Times New Roman"/>
          <w:b w:val="false"/>
          <w:i w:val="false"/>
          <w:color w:val="000000"/>
          <w:sz w:val="28"/>
        </w:rPr>
        <w:t>
      Ескертпе:</w:t>
      </w:r>
    </w:p>
    <w:bookmarkEnd w:id="10"/>
    <w:p>
      <w:pPr>
        <w:spacing w:after="0"/>
        <w:ind w:left="0"/>
        <w:jc w:val="both"/>
      </w:pPr>
      <w:r>
        <w:rPr>
          <w:rFonts w:ascii="Times New Roman"/>
          <w:b w:val="false"/>
          <w:i w:val="false"/>
          <w:color w:val="000000"/>
          <w:sz w:val="28"/>
        </w:rPr>
        <w:t>
      * су пайдалану сыныптарының сипаттамасы "Су объектілеріндегі су сапасын жіктеудің бірыңғай жүйесін бекіту туралы" Қазақстан Республикасы Ауыл шаруашылығы министрлігі Су ресурстары комитеті төрағасының 2016 жылғы 9 қарашадағы № 151 бұйрығына (Нормативтік құқықтық актілерді мемлекеттік тіркеу тізілімінде № 14513 болып тіркелген) сәйкес айқындалады;</w:t>
      </w:r>
    </w:p>
    <w:p>
      <w:pPr>
        <w:spacing w:after="0"/>
        <w:ind w:left="0"/>
        <w:jc w:val="both"/>
      </w:pPr>
      <w:r>
        <w:rPr>
          <w:rFonts w:ascii="Times New Roman"/>
          <w:b w:val="false"/>
          <w:i w:val="false"/>
          <w:color w:val="000000"/>
          <w:sz w:val="28"/>
        </w:rPr>
        <w:t>
      ** Астана қаласы шегіндегі жерүсті суларының көрсеткіштері үшін.</w:t>
      </w:r>
    </w:p>
    <w:bookmarkStart w:name="z15" w:id="11"/>
    <w:p>
      <w:pPr>
        <w:spacing w:after="0"/>
        <w:ind w:left="0"/>
        <w:jc w:val="both"/>
      </w:pPr>
      <w:r>
        <w:rPr>
          <w:rFonts w:ascii="Times New Roman"/>
          <w:b w:val="false"/>
          <w:i w:val="false"/>
          <w:color w:val="000000"/>
          <w:sz w:val="28"/>
        </w:rPr>
        <w:t>
      Негізгі қысқартулар:</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Цельсий градусы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 О2/л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литріне миллиграмм оттегі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насыщения О2/л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литріне оттегінің қанығу пайызы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литріне миллиграмм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мкСм/см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сантиметрге микро Сименс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Eh, мВ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заттың электрондарды қосу қабілетінің өлшемі, милливольт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 CaCO3/л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литріне миллиграмм кальций карбонаты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мг-экв/л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миллиграмм-литрге эквивалент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 N/л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литріне миллиграмм жалпы азот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 Р/л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литрге жалпы миллиграмм фосфор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кл/см3,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сантиметрге килолитр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кл/мл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миллилитрге килолитр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дециметр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фондық концентрация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беттік активті заттар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Беттік активті заттар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Анионды синтетикалық беттік активті заттар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Полициклді ароматты көмірсутектер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не тең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не тең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