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f94e" w14:textId="727f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қызметкерлерін кеңсе керек-жарақтарымен және кеңсе қағазымен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26 мамырдағы № 174-НҚ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70-бабына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Қаржылық мониторинг органдарының қызметкерлерін кеңсе жабдықтарымен және кеңсе қағазымен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"Қаржылық мониторинг органдарының қызметкерлерін кеңсе керек-жарақтарымен және кеңсе қағазымен қамтамасыз етудің заттай нормаларын бекіту туралы"Қазақстан Республикасаның Қаржылық мониторинг агенттігі Төрағасының 2024 жылғы 2 сәуірдегі № 91-НҚ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Республикасының Қаржылық мониторинг агенттігінің (бұдан әрі - Агенттік) органдарының құрылымдық бөлімшелерінің басшыларына кеңсе керек-жарақтары мен кеңсе қағаздарының ұтымды пайдаланылуын бақылау жүктелсін.</w:t>
      </w:r>
    </w:p>
    <w:bookmarkEnd w:id="3"/>
    <w:bookmarkStart w:name="z5" w:id="4"/>
    <w:p>
      <w:pPr>
        <w:spacing w:after="0"/>
        <w:ind w:left="0"/>
        <w:jc w:val="both"/>
      </w:pPr>
      <w:r>
        <w:rPr>
          <w:rFonts w:ascii="Times New Roman"/>
          <w:b w:val="false"/>
          <w:i w:val="false"/>
          <w:color w:val="000000"/>
          <w:sz w:val="28"/>
        </w:rPr>
        <w:t>
      4. Агенттігінің Әкімшілік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мемлекеттік және орыс тілдеріндегі осы бұйрықтың көшірмесін Қазақстан Республикасының нормативтік құқықтық актілерін эталондық бақылау банкіне еңгізу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5. Осы бұйрықтың орындалуын бақылау Агенттік аппаратының басшысына жүктелсін.</w:t>
      </w:r>
    </w:p>
    <w:bookmarkEnd w:id="7"/>
    <w:bookmarkStart w:name="z9" w:id="8"/>
    <w:p>
      <w:pPr>
        <w:spacing w:after="0"/>
        <w:ind w:left="0"/>
        <w:jc w:val="both"/>
      </w:pPr>
      <w:r>
        <w:rPr>
          <w:rFonts w:ascii="Times New Roman"/>
          <w:b w:val="false"/>
          <w:i w:val="false"/>
          <w:color w:val="000000"/>
          <w:sz w:val="28"/>
        </w:rPr>
        <w:t>
      6.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2025 жылғы 26 мамырдағы</w:t>
            </w:r>
            <w:r>
              <w:br/>
            </w:r>
            <w:r>
              <w:rPr>
                <w:rFonts w:ascii="Times New Roman"/>
                <w:b w:val="false"/>
                <w:i w:val="false"/>
                <w:color w:val="000000"/>
                <w:sz w:val="20"/>
              </w:rPr>
              <w:t>№174-НҚ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Қаржы мониторингі органдарының қызметкерлерін кеңсе керек-жарақтарының және кеңсе қағаздарының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қағазы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p>
            <w:pPr>
              <w:spacing w:after="20"/>
              <w:ind w:left="20"/>
              <w:jc w:val="both"/>
            </w:pPr>
            <w:r>
              <w:rPr>
                <w:rFonts w:ascii="Times New Roman"/>
                <w:b w:val="false"/>
                <w:i w:val="false"/>
                <w:color w:val="000000"/>
                <w:sz w:val="20"/>
              </w:rPr>
              <w:t>
(500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пішімі: A4, өлшемдері: 210 x 297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p>
            <w:pPr>
              <w:spacing w:after="20"/>
              <w:ind w:left="20"/>
              <w:jc w:val="both"/>
            </w:pPr>
            <w:r>
              <w:rPr>
                <w:rFonts w:ascii="Times New Roman"/>
                <w:b w:val="false"/>
                <w:i w:val="false"/>
                <w:color w:val="000000"/>
                <w:sz w:val="20"/>
              </w:rPr>
              <w:t>
(500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w:t>
            </w:r>
          </w:p>
          <w:p>
            <w:pPr>
              <w:spacing w:after="20"/>
              <w:ind w:left="20"/>
              <w:jc w:val="both"/>
            </w:pPr>
            <w:r>
              <w:rPr>
                <w:rFonts w:ascii="Times New Roman"/>
                <w:b w:val="false"/>
                <w:i w:val="false"/>
                <w:color w:val="000000"/>
                <w:sz w:val="20"/>
              </w:rPr>
              <w:t>
экономикалық тергеу қызметкеріне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пішімі: A4, өлшемдері: 210 x 297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Корпус-пластик, металл механизмі, қапсырмалардың өлшемдерін алып тастайды: №10-дан 24/6-ға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желімді қысқа жазбаға арналған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80 г/м2 артық емес, ені мен ұзындығы 9 см артық емес, қаптамада 500 парақтан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жазбаға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80 г/м2 артық емес, өлшемі 9 х 9 х 9 см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тесу қабілеті 1-ден 200 параққа дейін, тесіктер саны: 2 дана, сызғыштың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(үлкен)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p>
            <w:pPr>
              <w:spacing w:after="20"/>
              <w:ind w:left="20"/>
              <w:jc w:val="both"/>
            </w:pPr>
            <w:r>
              <w:rPr>
                <w:rFonts w:ascii="Times New Roman"/>
                <w:b w:val="false"/>
                <w:i w:val="false"/>
                <w:color w:val="000000"/>
                <w:sz w:val="20"/>
              </w:rPr>
              <w:t>
(12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51 мм, бекітілетін парақтар саны 250 парақтан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p>
            <w:pPr>
              <w:spacing w:after="20"/>
              <w:ind w:left="20"/>
              <w:jc w:val="both"/>
            </w:pPr>
            <w:r>
              <w:rPr>
                <w:rFonts w:ascii="Times New Roman"/>
                <w:b w:val="false"/>
                <w:i w:val="false"/>
                <w:color w:val="000000"/>
                <w:sz w:val="20"/>
              </w:rPr>
              <w:t>
(12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32 мм үлкен, бірақ 51 мм-ден аспайды, бекітілген парақтардың саны 150 параққа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(кішкентай)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p>
            <w:pPr>
              <w:spacing w:after="20"/>
              <w:ind w:left="20"/>
              <w:jc w:val="both"/>
            </w:pPr>
            <w:r>
              <w:rPr>
                <w:rFonts w:ascii="Times New Roman"/>
                <w:b w:val="false"/>
                <w:i w:val="false"/>
                <w:color w:val="000000"/>
                <w:sz w:val="20"/>
              </w:rPr>
              <w:t>
(12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32 мм, бекітілген парақтар саны 50 параққа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пластикалық, дисплей 16 саннан аспайтын қуат көзі, батареяларының түрі және күн батареясынан, сұйық кристалды дисплейі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Өшіргішпен жай қарындаш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немесе ағаш, қорғасынның қаттылығы-НВ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желімі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мен қағазды желімдеуге арналған Силикат желімі сұйық консистенцияға ие, желімнің көлемі-75 мл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таңбалау ұзындығы: 40 см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маркерлер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(ішінде 4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жазу сызығының қалыңдығы: 4 мм-ден аспайды, ұшы пішіні: қиғаш немесе сына тәрізді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элементті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Қаржылық мониторинг агенттігінің Төрағасы, төрағасының орынбасарлары, аппарат басшысы, департамент басшылары (кеңесші), департамент басшыларының орынбасарлары, кинологиялық орталықтың бастығы және орынбасарлары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тұтқа материалы: пластик, ұзындығы: 30 см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пышақ материалы: Тот баспайтын болат, пышақтың ені - 18 мм-ден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 14 тармақта қарастырылмаған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заттар саны: кемінде 10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Тіркегіш папка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поливинилхлорид, ішкі мұқаба материалы: қағаз, А4 форматы, тығыздығы: 1500 г/м2 артық емес, түбір Ені: 80 мм артық емес, жиектеу механизмі: металл Арка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скобалар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(1000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мырышталған металл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жасалған құжат тігілетін папка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w:t>
            </w:r>
          </w:p>
          <w:p>
            <w:pPr>
              <w:spacing w:after="20"/>
              <w:ind w:left="20"/>
              <w:jc w:val="both"/>
            </w:pPr>
            <w:r>
              <w:rPr>
                <w:rFonts w:ascii="Times New Roman"/>
                <w:b w:val="false"/>
                <w:i w:val="false"/>
                <w:color w:val="000000"/>
                <w:sz w:val="20"/>
              </w:rPr>
              <w:t>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картоннан жасалған А4 форматты байланыстырғыш қалта (тығыздығы 360 г / шаршы метрге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қыстырғышы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никельмен қапталған немесе жуылған металл / винил қабығы, өлшемі 50 мм-ден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 саны: 2 парақтан 210 параққа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пластик, түрі: тікбұрышты немесе көрсеткілер, өлшемі 12 х 45 мм, жиынтықтағы саны 125 данадан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ұштағыш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пышақ материалы; Тот баспайтын болат, тесіктер саны 2 - ден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Кірістіру - файлы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 құжаттарды сақтау және қорғау үшін беті мөлдір. Бүйірлік перфорациясы бар полипропилен пленкасынан жасалған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материалы-пластик / металл, көлемі-15 л аспайды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