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f8c7" w14:textId="f7df8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2025 жылғы 14 тамыздағы № 804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 тармақшалары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71) Қазақстан Республикасы Қаржы министрлiгiнiң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ережесі осы бұйрыққа 71-қосымшаға сәйкес;</w:t>
      </w:r>
    </w:p>
    <w:bookmarkEnd w:id="3"/>
    <w:bookmarkStart w:name="z5" w:id="4"/>
    <w:p>
      <w:pPr>
        <w:spacing w:after="0"/>
        <w:ind w:left="0"/>
        <w:jc w:val="both"/>
      </w:pPr>
      <w:r>
        <w:rPr>
          <w:rFonts w:ascii="Times New Roman"/>
          <w:b w:val="false"/>
          <w:i w:val="false"/>
          <w:color w:val="000000"/>
          <w:sz w:val="28"/>
        </w:rPr>
        <w:t>
      72)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туралы ережесі осы бұйрықтың 72-қосымшасына сәйкес;</w:t>
      </w:r>
    </w:p>
    <w:bookmarkEnd w:id="4"/>
    <w:bookmarkStart w:name="z6" w:id="5"/>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76)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76)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туралы ережесі осы бұйрыққа </w:t>
      </w:r>
      <w:r>
        <w:rPr>
          <w:rFonts w:ascii="Times New Roman"/>
          <w:b w:val="false"/>
          <w:i w:val="false"/>
          <w:color w:val="000000"/>
          <w:sz w:val="28"/>
        </w:rPr>
        <w:t>76-қосымшаға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Шығыс Қазақстан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8"/>
    <w:bookmarkStart w:name="z10" w:id="9"/>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10"/>
    <w:bookmarkStart w:name="z12" w:id="11"/>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министрлігінің</w:t>
            </w:r>
          </w:p>
          <w:p>
            <w:pPr>
              <w:spacing w:after="20"/>
              <w:ind w:left="20"/>
              <w:jc w:val="both"/>
            </w:pPr>
            <w:r>
              <w:rPr>
                <w:rFonts w:ascii="Times New Roman"/>
                <w:b w:val="false"/>
                <w:i/>
                <w:color w:val="000000"/>
                <w:sz w:val="20"/>
              </w:rPr>
              <w:t>Мемлекеттік кірістер 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Дуйсембиев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