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db3b" w14:textId="fffd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28 қазандағы № 639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мекемесі көрсететін қызметтер" бөлімі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1) оқу және материалдық-техникалық базаны нығайту;</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2) ақылы көрсетілетін қызметтер мен жұмыстарды өткізуге қатысатын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профессорлық-оқытушылық құрамның, мамандардың қызметкерлердің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форумдар, семинарлар, конференциялар, оқыту тренингтері, дөңгелек үстелдер және имидждік іс-шаралар өткізуге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ғылыми зерттеулер мен басқа да іс-шараларды жүргізу үшін шығыс материалдарын, жабдықтар мен бағдарламалық қамтамасыз етуді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зерттеулер бойынша көрсетілетін қызметтерге ақы төлеу, ғылыми зерттеулердің нәтижелерін жариялау, оның ішінде ғылыми еңбектерді, оқу құралдарын редакциялау;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зерттеулер және онымен байланысты іс-шаралар үшін үй-жайларды, жабдықтарды және техниканы жалдау;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конференциялар, семинарлар, дөңгелек үстелдер, конкурстар, турнирлер, жарыстар аясында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Республикасының заңнамасында белгіленген іссапар шығыстарын өтеу нормалары шегінде зерттеулер жүргізуге, ғылыми конференцияларға, семинарларға, көрмелерге және басқа да іс-шараларға қатысуға байланысты іссапарлар;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аударма қызметтерін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тауарларды (ағымдағы шаруашылық мақсаттарға арналған заттар мен материалдарды, оның ішінде дәрілік заттар мен медициналық мақсаттағы өзге де бұйымдарды сатып алуға, отын, жанар-жағармай материалдарын сатып алуға), жұмыстарды (ғимаратқа қызмет көрсету, ағымдағы жөндеу) және көрсетілетін қызметтерді (коммуналдық қызметтер, байланыс қызметтері, көлік қызметтері, ақпараттандыру саласындағы жұмыстар мен көрсетілетін қызметтерге ақы төлеу) сатып алуға арналған қосымша шаруашылық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қызметкерлерге үстемеақылар мен қосымша ақылар белгілеу, сыйлықақы беру, қызметкерлерге әлеуметтік және материалдық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"Қазақстан Республикасы Жоғары Сот Кеңесінің жанындағы Сот төрелігі академиясын қызметтік автомобильдермен, телефон байланысымен, кеңсе жиһазымен және мемлекеттік мекеменің аппаратын орналастыруға арналған алаңдармен қамтамасыз етудің заттай нормаларын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Жоғарғы Сот Кеңесі Төрағасының 2024 жылғы 19 желтоқсандағы № 1-9/68 өкімімен бекітілген заттай нормаларға көлік құралдарын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баспа және полиграфиялық өнімдерді дайындау мақсатында көрсетілетін қызметтерді, шығыс материалдары мен жабдықтарды сатып алу;</w:t>
            </w:r>
          </w:p>
          <w:p>
            <w:pPr>
              <w:spacing w:after="20"/>
              <w:ind w:left="20"/>
              <w:jc w:val="both"/>
            </w:pPr>
            <w:r>
              <w:rPr>
                <w:rFonts w:ascii="Times New Roman"/>
                <w:b w:val="false"/>
                <w:i w:val="false"/>
                <w:color w:val="000000"/>
                <w:sz w:val="20"/>
              </w:rPr>
              <w:t>
15) Академияның ғылыми еңбектерін, журналдарын шығаруға байланысты шығыстар (111, 112, 113, 116, 121, 122, 124, 131, 135, 142, 144, 149, 151, 152, 153, 154, 156, 157, 158, 159, 161, 162, 169, 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заңның </w:t>
            </w:r>
            <w:r>
              <w:rPr>
                <w:rFonts w:ascii="Times New Roman"/>
                <w:b w:val="false"/>
                <w:i w:val="false"/>
                <w:color w:val="000000"/>
                <w:sz w:val="20"/>
              </w:rPr>
              <w:t>63-бабының</w:t>
            </w:r>
            <w:r>
              <w:rPr>
                <w:rFonts w:ascii="Times New Roman"/>
                <w:b w:val="false"/>
                <w:i w:val="false"/>
                <w:color w:val="000000"/>
                <w:sz w:val="20"/>
              </w:rPr>
              <w:t xml:space="preserve"> 3-тармағы,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іс-шараларды ұйымдастыру және өткізу: семинарлар, кеңестер, конференциялар, спорттық жарыстар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және (немесе)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Академияның ғылыми басылымдарында ғылыми мақалалар жариялау және баспа қызметін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bookmarkStart w:name="z24" w:id="6"/>
    <w:p>
      <w:pPr>
        <w:spacing w:after="0"/>
        <w:ind w:left="0"/>
        <w:jc w:val="both"/>
      </w:pPr>
      <w:r>
        <w:rPr>
          <w:rFonts w:ascii="Times New Roman"/>
          <w:b w:val="false"/>
          <w:i w:val="false"/>
          <w:color w:val="000000"/>
          <w:sz w:val="28"/>
        </w:rPr>
        <w:t>
      ".</w:t>
      </w:r>
    </w:p>
    <w:bookmarkEnd w:id="6"/>
    <w:bookmarkStart w:name="z25"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
    <w:bookmarkStart w:name="z26" w:id="8"/>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27"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28"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