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5180" w14:textId="7f05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2025-2027 жылдарға арналған бюджеттері туралы" Талғар аудандық мәслихатының 2024 жылғы 31желтоқсандағы № 36-134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29 қазандағы № 48-197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2025-2027 жылдарға арналған бюджеттері туралы" 2024 жылғы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Талғар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3 476 447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3 025 802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450 645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3 482 810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6 363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6 363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6 363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Алатау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594 290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554 103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40 000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595 950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1660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1660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1660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Белбұлақ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688 233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677 683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10 550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688 772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539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Бесағаш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1 183 198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1 170 375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12 823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1 184 509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1 311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1 311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Бесқайнар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181 043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152 148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184 872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3 829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3 829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Гүлдала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494 755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476 843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17 823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495 517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762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Кеңдала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583 294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559 181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24 113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584 267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973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Қайнар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731 376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503 235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156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227 985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733 343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1967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1967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1967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Нұра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282 934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141 202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141 732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284 269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1 335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Панфилов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1 166 242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1 132 571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913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32 758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1 166 920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678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678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Тұздыбастау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1 127 945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1 106 833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21 112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1 128 132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187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187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қазандағы № 48-197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