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2316" w14:textId="9312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Жамбыл ауылдық округі Қошмамбет ауылындағы атауы қайталанған көшелерді қайта атау және атауы жоқ көшелерге атау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Жамбыл ауылдық округі әкімінің 2025 жылғы 2 шілдедегі № 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ауылдық округі Қошмамбет ауылының халқының пікірін ескере отырып және 2025 жылғы 11 маусымдағы Алматы облыстық ономастикалық комиссия отырысының қорытындысы негізінде, Қарасай ауданы Жамбыл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ауылдық округіне қарасты Қошмамбет ауылының атауы жоқ және атауы қайталанған көшелеріне қайта атау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және атауы қайталанған көшелердің атауын қайта атау: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Қосағаш 1-ші көшесін – "Қосағаш" көшесіне,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Қосағаш 2-ші көшесін – "Жайық" көшесіне,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Қосағаш 3-ші көшесін – "Қайнар" көшесіне,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Панфилов 2-ші көшесін – "Сарыарқа" көшесіне,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2-ші көшесін – "Жиделі" көшесіне,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 3-ші көшесін – "Бурабай" көшесіне,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Жамбыл 4-ші көшесін – "Жетісу" көшесіне,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Дача Текелі 1-ші көшесін – "Үшқоңыр" көшесіне,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Дача Текелі 2-ші көшесін – "Жидебай" көшесіне,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Дача Текелі 3-ші көшесін – "Іле" көшесіне,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Дача АКХ Дружба 1-ші көшесін – "Самал" көшесіне,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Дача АКХ Дружба 2-ші көшесін – "Қаратау" көшесіне,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Дача АКХ Дружба 3-ші көшесін – "Ақкент" көшесіне,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Дача АКХ Дружба 4-ші көшесін – "Байкент" көшесіне өзгертілсін.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алғаш ресми жариялаған күнінен кейін күнтізбелік он күннен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