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9444" w14:textId="32d9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Қорам ауылдық округінің, Қорам ауылындардағы көшелерінің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Қорам ауылдық округі әкімінің 2025 жылғы 24 қарашадағы № 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"Қазакстан Республикасының әкімшілік-аумақтық кұрылысы туралы" Қазақстан Республикасы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ауданы Қорам ауылдық округінің халқының пікірін ескере отырып және 2025 жылғы 11 маусымдағы облыстық ономастикалық комиссиясының қорытындысы негізінде, Алматы облысы Еңбекшіқазақ ауданы Қорам ауылдық округінің әкімі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Енбекшікжақ ауданы Қорам ауылдық округінің Қорам ауылдағы: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"1-мөлтек ауданындағы атауы жоқ" кешесі "Әсемғазы Рушанов" көшесі,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"1-мөлтек ауданындағы атауы жоқ" кешесі "Имар Жамахунов" кошесі,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"2-мөлтек ауданындағы атауы жоқ" кешесі "Дәуіт Беспаев" көшесі болып өзгертілсін.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алғашкы ресми жариаланған күнінен кейін күнтізбелік он күн өткен соң колданысқа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Қорам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