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33f9" w14:textId="c583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19 ақпандағы № 86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"Қазхром" Трансұлттық компаниясы" акционерлік қоғамымен пайдалы қазбаларды барлау үшін, Мұғалжар ауданы Батпақкөл ауылдық округі аумағында орналасқан жалпы алаңы 27663,784 гектар жер учаскесіне жер пайдаланушылардан алып қоймай, 2029 жылдың 30 қазанына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