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27f9" w14:textId="06a2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22 қыркүйектегі № 248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72 205,8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18 643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68 605,4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Байнассай ауылдық округінің бюджетінде аудандық бюджеттен берілетін трансферттер көлемі – 29 647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62 955,2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62 184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91 192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17 368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115 862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128 922,4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Қаратоғай ауылдық округінің бюджетінде аудандық бюджеттен берілетін трансферттер көлемі – 71 827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62 252,7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47 351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62 483,4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20 551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77 015,1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Қызылжар ауылдық округінің бюджетінде аудандық бюджеттен берілетін трансферттер көлемі – 27 690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1 059 729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852 468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1 068 648,8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Мәртөк ауылдық округінің бюджетінде облыстық бюджеттен берілетін трансферттер көлемі – 536 390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270 776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89 512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70 626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93 264,4 мың теңге;";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2025 жылға арналған Родников ауылдық округінің бюджетінде облыстық бюджеттен берілетін трансферттер көлемі – 15 000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2025 жылға арналған Родников ауылдық округінің бюджетінде аудандық бюджеттен берілетін трансферттер көлемі – 16 586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288 868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253 008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291 588,1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186 562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103 106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122 753,7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72 794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61 804,1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18 599 мың теңге сомасында ескерілсін.";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қыркүйектегі №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