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eb76" w14:textId="4c2e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28 тамыздағы № 2116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ішкі саясат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қаласының әкімдігінің </w:t>
            </w:r>
            <w:r>
              <w:br/>
            </w:r>
            <w:r>
              <w:rPr>
                <w:rFonts w:ascii="Times New Roman"/>
                <w:b w:val="false"/>
                <w:i w:val="false"/>
                <w:color w:val="000000"/>
                <w:sz w:val="20"/>
              </w:rPr>
              <w:t xml:space="preserve">2025 жылғы "28" тамыздағы </w:t>
            </w:r>
            <w:r>
              <w:br/>
            </w:r>
            <w:r>
              <w:rPr>
                <w:rFonts w:ascii="Times New Roman"/>
                <w:b w:val="false"/>
                <w:i w:val="false"/>
                <w:color w:val="000000"/>
                <w:sz w:val="20"/>
              </w:rPr>
              <w:t>№ 2116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"Ақтөбе қаласының ішкі саясат бөлімі" мемлекеттік мекемесінің "Ақтөбе қаласының жастар ресурстық орталығы" және "Дін мәселелері және қоғаммен байланыс жөніндегі орталығы" коммуналдық мемлекеттік мекемелері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ұйым қызметкерлерін қызметтік міндеттерін (лауазымды) міндеттерін тиісінше орындағаны үшін марапаттау, сондай-ақ өз функциялары мен тапсырмаларын уақытыл және сапалы орындауға материалдық қызығушылықтарын арттыру мақсатында әзірленген және "Ақтөбе қаласыныі ішкі саясат бөлімі"мемлекеттік мекемесінің "Ақтөбе қаласының жастар ресурстық орталығы"және "Дін мәселелері және қоғаммен байланыс жөніндегі орталығы" коммуналдық мемлекеттік мекемелері қызметкерлеріне қатысты болады.</w:t>
      </w:r>
    </w:p>
    <w:bookmarkEnd w:id="7"/>
    <w:bookmarkStart w:name="z11" w:id="8"/>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 және олардың мөлшері Ақтөбе қаласы мәслихатының шешімі бойынша жергілікті бюджет қаражаты есебінен белгіленеді.</w:t>
      </w:r>
    </w:p>
    <w:bookmarkEnd w:id="8"/>
    <w:bookmarkStart w:name="z12" w:id="9"/>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9"/>
    <w:bookmarkStart w:name="z13" w:id="10"/>
    <w:p>
      <w:pPr>
        <w:spacing w:after="0"/>
        <w:ind w:left="0"/>
        <w:jc w:val="both"/>
      </w:pPr>
      <w:r>
        <w:rPr>
          <w:rFonts w:ascii="Times New Roman"/>
          <w:b w:val="false"/>
          <w:i w:val="false"/>
          <w:color w:val="000000"/>
          <w:sz w:val="28"/>
        </w:rPr>
        <w:t>
      3. Лауазымдық жалақыға ынталандырушы үстемеақыларын белгілеу облыстық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10"/>
    <w:p>
      <w:pPr>
        <w:spacing w:after="0"/>
        <w:ind w:left="0"/>
        <w:jc w:val="both"/>
      </w:pPr>
      <w:r>
        <w:rPr>
          <w:rFonts w:ascii="Times New Roman"/>
          <w:b w:val="false"/>
          <w:i w:val="false"/>
          <w:color w:val="000000"/>
          <w:sz w:val="28"/>
        </w:rPr>
        <w:t>
      Жазбаша ұсынысты дербес құрылымдық бөлімшелер қызметкерінің</w:t>
      </w:r>
    </w:p>
    <w:p>
      <w:pPr>
        <w:spacing w:after="0"/>
        <w:ind w:left="0"/>
        <w:jc w:val="both"/>
      </w:pPr>
      <w:r>
        <w:rPr>
          <w:rFonts w:ascii="Times New Roman"/>
          <w:b w:val="false"/>
          <w:i w:val="false"/>
          <w:color w:val="000000"/>
          <w:sz w:val="28"/>
        </w:rPr>
        <w:t>
      тікелей басшысы мемлекеттік ұйымның бірінші басшысына шығарады.</w:t>
      </w:r>
    </w:p>
    <w:bookmarkStart w:name="z14" w:id="11"/>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11"/>
    <w:bookmarkStart w:name="z15" w:id="12"/>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12"/>
    <w:bookmarkStart w:name="z16" w:id="13"/>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үстемақысын белгілеудің бас тарту себептерін негіздей отырып келіседі немесе бас тартады.</w:t>
      </w:r>
    </w:p>
    <w:bookmarkEnd w:id="13"/>
    <w:bookmarkStart w:name="z17" w:id="14"/>
    <w:p>
      <w:pPr>
        <w:spacing w:after="0"/>
        <w:ind w:left="0"/>
        <w:jc w:val="both"/>
      </w:pPr>
      <w:r>
        <w:rPr>
          <w:rFonts w:ascii="Times New Roman"/>
          <w:b w:val="false"/>
          <w:i w:val="false"/>
          <w:color w:val="000000"/>
          <w:sz w:val="28"/>
        </w:rPr>
        <w:t>
      7. Лауазымдық жалақыға көтермелеу үстемақысын белгілеуден бас тартуға негіздер:</w:t>
      </w:r>
    </w:p>
    <w:bookmarkEnd w:id="14"/>
    <w:p>
      <w:pPr>
        <w:spacing w:after="0"/>
        <w:ind w:left="0"/>
        <w:jc w:val="both"/>
      </w:pPr>
      <w:r>
        <w:rPr>
          <w:rFonts w:ascii="Times New Roman"/>
          <w:b w:val="false"/>
          <w:i w:val="false"/>
          <w:color w:val="000000"/>
          <w:sz w:val="28"/>
        </w:rPr>
        <w:t>
      1) ұсынымның ынталандыру үстемақыларын белгілеуге қажетті мәліметтермен толық қамтылмауы: ынталандыру үстемақыларын белгілеу құқығын беретін қызметкердің қызметінің нәтижелерін сипаттайтын негізгі көрсеткіштердің анық еместігі және ақы мөлшерлерінің көрінісі;</w:t>
      </w:r>
    </w:p>
    <w:p>
      <w:pPr>
        <w:spacing w:after="0"/>
        <w:ind w:left="0"/>
        <w:jc w:val="both"/>
      </w:pPr>
      <w:r>
        <w:rPr>
          <w:rFonts w:ascii="Times New Roman"/>
          <w:b w:val="false"/>
          <w:i w:val="false"/>
          <w:color w:val="000000"/>
          <w:sz w:val="28"/>
        </w:rPr>
        <w:t>
      2) орындаушылық және еңбек тәртібін сақтамау.</w:t>
      </w:r>
    </w:p>
    <w:bookmarkStart w:name="z18" w:id="15"/>
    <w:p>
      <w:pPr>
        <w:spacing w:after="0"/>
        <w:ind w:left="0"/>
        <w:jc w:val="left"/>
      </w:pPr>
      <w:r>
        <w:rPr>
          <w:rFonts w:ascii="Times New Roman"/>
          <w:b/>
          <w:i w:val="false"/>
          <w:color w:val="000000"/>
        </w:rPr>
        <w:t xml:space="preserve"> 3-тарау. Ынталандыру үстемақыларын белгілеу шарттары</w:t>
      </w:r>
    </w:p>
    <w:bookmarkEnd w:id="15"/>
    <w:bookmarkStart w:name="z19" w:id="16"/>
    <w:p>
      <w:pPr>
        <w:spacing w:after="0"/>
        <w:ind w:left="0"/>
        <w:jc w:val="both"/>
      </w:pPr>
      <w:r>
        <w:rPr>
          <w:rFonts w:ascii="Times New Roman"/>
          <w:b w:val="false"/>
          <w:i w:val="false"/>
          <w:color w:val="000000"/>
          <w:sz w:val="28"/>
        </w:rPr>
        <w:t>
      7. Ынталандыру үстемақыларын белгілеу қызметкердің қызметінің әрбір қызметінің нәтижелерін сипаттайтын негізгі көрсеткіштер:</w:t>
      </w:r>
    </w:p>
    <w:bookmarkEnd w:id="16"/>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нәтижелерінде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жұмысын қамтамасыз етумен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ұштасытылған жұмыстың жеткілікті тәжірибеде (өтіл) мен дағдыларды, оларды практикада табысты қолданумен, сондай-ақ басқа да көрсетілгендерді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қызметкерлерге лауазымдық жалақыға үстемақы олардың орындалу көлеміне қарай, сондай-ақ олардың кейбір құқықтарын шектеуден және қосымша жауаптылықтары үшін белгіленуі мүмкін;</w:t>
      </w:r>
    </w:p>
    <w:p>
      <w:pPr>
        <w:spacing w:after="0"/>
        <w:ind w:left="0"/>
        <w:jc w:val="both"/>
      </w:pPr>
      <w:r>
        <w:rPr>
          <w:rFonts w:ascii="Times New Roman"/>
          <w:b w:val="false"/>
          <w:i w:val="false"/>
          <w:color w:val="000000"/>
          <w:sz w:val="28"/>
        </w:rPr>
        <w:t>
      8) үстемақылар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7"/>
    <w:p>
      <w:pPr>
        <w:spacing w:after="0"/>
        <w:ind w:left="0"/>
        <w:jc w:val="both"/>
      </w:pPr>
      <w:r>
        <w:rPr>
          <w:rFonts w:ascii="Times New Roman"/>
          <w:b w:val="false"/>
          <w:i w:val="false"/>
          <w:color w:val="000000"/>
          <w:sz w:val="28"/>
        </w:rPr>
        <w:t>
      8. Лауазымдық айлықақыларға ынталандыру үстемақысы қызметкерлерге белгіленбейді:</w:t>
      </w:r>
    </w:p>
    <w:bookmarkEnd w:id="17"/>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кезеңінен;</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 әйелдің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демлыс кезеңінде;</w:t>
      </w:r>
    </w:p>
    <w:bookmarkStart w:name="z21" w:id="18"/>
    <w:p>
      <w:pPr>
        <w:spacing w:after="0"/>
        <w:ind w:left="0"/>
        <w:jc w:val="both"/>
      </w:pPr>
      <w:r>
        <w:rPr>
          <w:rFonts w:ascii="Times New Roman"/>
          <w:b w:val="false"/>
          <w:i w:val="false"/>
          <w:color w:val="000000"/>
          <w:sz w:val="28"/>
        </w:rPr>
        <w:t>
      9. Ынталандыру үстемақылары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2" w:id="19"/>
    <w:p>
      <w:pPr>
        <w:spacing w:after="0"/>
        <w:ind w:left="0"/>
        <w:jc w:val="both"/>
      </w:pPr>
      <w:r>
        <w:rPr>
          <w:rFonts w:ascii="Times New Roman"/>
          <w:b w:val="false"/>
          <w:i w:val="false"/>
          <w:color w:val="000000"/>
          <w:sz w:val="28"/>
        </w:rPr>
        <w:t>
      10. Ұйымдар жұмыскерлердің лауазымдық айлықақыларына ынталандыру үстемақыларын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