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2161" w14:textId="bea2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қаласының тұрғын үй қатынастары бөлімі" мемлекеттік мекемесінің "Тұрғын үй қорын қамтамасыз ету және мониторинг жүргізу бойынша орталық" коммуналдық мемлекеттік мекемесі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облысы Ақтөбе қалалық мәслихатының 2025 жылғы 30 қазандағы № 336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1. Ақтөбе қаласының жергілікті атқарушы органы айқындаған тәртібі мен шарттарына сәйкес жергілікті бюджеттен қаржыландырылатын "Ақтөбе қаласының тұрғын үй қатынастары бөлімі" мемлекеттік мекемесінің "Тұрғын үй қорын қамтамасыз ету және мониторинг жүргізу бойынша орталық" коммуналдық мемлекеттік мекемесі қызметкерлерінің лауазымдық айлықақыларына 50 (елу) пайыз мөлшерінде ынталандыру үстемеақылары белгіленсін.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