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86ac" w14:textId="8078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 пилотсыз ұшу аппараттарын жоюдың техникалық құралдарымен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сәуірдегі № 350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70-бабы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 пилотсыз ұшу аппараттарын жоюдың техникалық құралдарымен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Ақпараттандыру және байланыс департаменті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бұйрыққа қол қойылғаннан кейін бес жұмыс күні ішінде оның мемлекеттік және орыс тілдеріндегі электрондық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2025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30 сәуір</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ішкі істер органдарын пилотсыз ұшу  аппараттарын жоюдың техникалық құралдарымен жабдықтаудың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Тарату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аппараттарын бейтараптандырудың техникалық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кезінде қолдану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"Сұңқар" арнайы мақсаттағы жасағына, әрбір "Арлан" арнайы мақсаттағы бөлінісіне, әрбір жылдам қимылдайтын арнайы жасағына, әрбір қылмыстық-атқару жүйесі мекемесіне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